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FC" w:rsidRPr="008C2FED" w:rsidRDefault="003B5EFC" w:rsidP="008C2FED">
      <w:pPr>
        <w:pStyle w:val="Style9"/>
        <w:widowControl/>
        <w:spacing w:before="96" w:line="278" w:lineRule="exact"/>
        <w:ind w:firstLine="0"/>
        <w:jc w:val="center"/>
        <w:rPr>
          <w:rStyle w:val="FontStyle19"/>
          <w:b/>
        </w:rPr>
      </w:pPr>
      <w:r w:rsidRPr="008C2FED">
        <w:rPr>
          <w:rStyle w:val="FontStyle19"/>
          <w:b/>
        </w:rPr>
        <w:t>Отнасящи се за лицата, притежаващи разрешения и регистрационни документи за дейности с отпадъци от черни и цветни метали (ОЧЦМ), излезли от употреба моторни превозни средства (ИУМПС), излязло от употреба електрическо и електронно оборудване (ИУЕЕО), отпадъци от хартия и картон, пластмаса</w:t>
      </w:r>
      <w:r>
        <w:rPr>
          <w:rStyle w:val="FontStyle19"/>
          <w:b/>
        </w:rPr>
        <w:t>, стъкло и отпадъци от опаковки</w:t>
      </w:r>
    </w:p>
    <w:p w:rsidR="003B5EFC" w:rsidRPr="008C2FED" w:rsidRDefault="003B5EFC" w:rsidP="008C2FED">
      <w:pPr>
        <w:pStyle w:val="Style9"/>
        <w:widowControl/>
        <w:spacing w:before="96" w:line="278" w:lineRule="exact"/>
        <w:ind w:firstLine="0"/>
        <w:jc w:val="center"/>
        <w:rPr>
          <w:rStyle w:val="FontStyle19"/>
          <w:b/>
        </w:rPr>
      </w:pPr>
    </w:p>
    <w:p w:rsidR="003B5EFC" w:rsidRDefault="003B5EFC" w:rsidP="006B40AA">
      <w:pPr>
        <w:pStyle w:val="Style10"/>
        <w:widowControl/>
        <w:tabs>
          <w:tab w:val="left" w:pos="773"/>
        </w:tabs>
        <w:spacing w:line="240" w:lineRule="auto"/>
        <w:ind w:firstLine="0"/>
        <w:rPr>
          <w:rStyle w:val="FontStyle19"/>
        </w:rPr>
      </w:pPr>
      <w:r w:rsidRPr="006B40AA">
        <w:rPr>
          <w:rStyle w:val="FontStyle19"/>
          <w:b/>
          <w:lang w:val="ru-RU"/>
        </w:rPr>
        <w:t>1</w:t>
      </w:r>
      <w:r w:rsidRPr="006B40AA">
        <w:rPr>
          <w:rStyle w:val="FontStyle19"/>
          <w:b/>
        </w:rPr>
        <w:t>.</w:t>
      </w:r>
      <w:r>
        <w:rPr>
          <w:rStyle w:val="FontStyle19"/>
        </w:rPr>
        <w:t xml:space="preserve"> Допуска се извършването на дейности с </w:t>
      </w:r>
      <w:r>
        <w:rPr>
          <w:rStyle w:val="FontStyle15"/>
        </w:rPr>
        <w:t xml:space="preserve">отпадъци от хартия и картон, пластмаса, стъкло и отпадъци от опаковки </w:t>
      </w:r>
      <w:r>
        <w:rPr>
          <w:rStyle w:val="FontStyle19"/>
        </w:rPr>
        <w:t xml:space="preserve">само на площадки, разположени на територии, за които съгласно устройствен план са допустими </w:t>
      </w:r>
      <w:r w:rsidRPr="008C2FED">
        <w:rPr>
          <w:rStyle w:val="FontStyle19"/>
          <w:b/>
        </w:rPr>
        <w:t>производствени и складови дейности</w:t>
      </w:r>
      <w:r>
        <w:rPr>
          <w:rStyle w:val="FontStyle19"/>
        </w:rPr>
        <w:t xml:space="preserve">, на пристанища за обществен транспорт с национално и регионално значение и на обекти на железопътната инфраструктура със стопанско предназначение (чл. 38). </w:t>
      </w:r>
    </w:p>
    <w:p w:rsidR="003B5EFC" w:rsidRDefault="003B5EFC" w:rsidP="006B40AA">
      <w:pPr>
        <w:pStyle w:val="Style10"/>
        <w:widowControl/>
        <w:tabs>
          <w:tab w:val="left" w:pos="773"/>
        </w:tabs>
        <w:spacing w:line="240" w:lineRule="auto"/>
        <w:ind w:firstLine="0"/>
        <w:rPr>
          <w:rStyle w:val="FontStyle19"/>
        </w:rPr>
      </w:pPr>
    </w:p>
    <w:p w:rsidR="003B5EFC" w:rsidRPr="006B40AA" w:rsidRDefault="003B5EFC" w:rsidP="006B40AA">
      <w:pPr>
        <w:pStyle w:val="Style10"/>
        <w:widowControl/>
        <w:tabs>
          <w:tab w:val="left" w:pos="773"/>
        </w:tabs>
        <w:spacing w:line="240" w:lineRule="auto"/>
        <w:ind w:firstLine="0"/>
        <w:rPr>
          <w:rStyle w:val="FontStyle19"/>
          <w:b/>
        </w:rPr>
      </w:pPr>
      <w:r w:rsidRPr="006B40AA">
        <w:rPr>
          <w:rStyle w:val="FontStyle19"/>
          <w:b/>
        </w:rPr>
        <w:t>2.</w:t>
      </w:r>
      <w:r>
        <w:rPr>
          <w:rStyle w:val="FontStyle19"/>
        </w:rPr>
        <w:t xml:space="preserve"> Дейностите с отпадъци </w:t>
      </w:r>
      <w:r w:rsidRPr="006B40AA">
        <w:rPr>
          <w:rStyle w:val="FontStyle19"/>
          <w:b/>
        </w:rPr>
        <w:t>от хартия и картон, пластмаса, стъкло и отпадъци от опаковки</w:t>
      </w:r>
      <w:r>
        <w:rPr>
          <w:rStyle w:val="FontStyle19"/>
        </w:rPr>
        <w:t xml:space="preserve"> се привеждат в съответствие с новите изисквания </w:t>
      </w:r>
      <w:r w:rsidRPr="006B40AA">
        <w:rPr>
          <w:rStyle w:val="FontStyle19"/>
          <w:b/>
        </w:rPr>
        <w:t>в срок до 03.01.2019 г.</w:t>
      </w:r>
    </w:p>
    <w:p w:rsidR="003B5EFC" w:rsidRDefault="003B5EFC" w:rsidP="006B40AA">
      <w:pPr>
        <w:pStyle w:val="Style11"/>
        <w:widowControl/>
        <w:spacing w:before="62" w:line="240" w:lineRule="auto"/>
        <w:rPr>
          <w:rStyle w:val="FontStyle19"/>
        </w:rPr>
      </w:pPr>
      <w:r>
        <w:rPr>
          <w:rStyle w:val="FontStyle19"/>
        </w:rPr>
        <w:t>- За това е необходимо лицата, извършващи тези дейности да подадат заявление за тяхното изменение и/или допълнение до компетентния орган, към което прилагат оригинал или заверено от компетентен орган копие -извадка от влязъл в сила устройствен план или от друг удостоверителен документ, доказващ, че площадката отговаря на изискванията на чл. 38, ал. 1 от ЗУО и заверено копие на документ за собственост или копие на договор за наем, придружен с документ за собственост. Това не се отнася за случаите, когато площадката/площадките за извършване на дейностите с отпадъци от хартия и картон, пластмаса, стъкло и отпадъци от опаковки отговарят на посочените по-горе изисквания; (§66, ал. 1 и 2 от ПЗР на ЗИД на ЗУО)</w:t>
      </w:r>
    </w:p>
    <w:p w:rsidR="003B5EFC" w:rsidRDefault="003B5EFC" w:rsidP="006B40AA">
      <w:pPr>
        <w:pStyle w:val="Style11"/>
        <w:widowControl/>
        <w:spacing w:before="62" w:line="240" w:lineRule="auto"/>
        <w:rPr>
          <w:rStyle w:val="FontStyle19"/>
        </w:rPr>
      </w:pPr>
    </w:p>
    <w:p w:rsidR="003B5EFC" w:rsidRDefault="003B5EFC" w:rsidP="006B40AA">
      <w:pPr>
        <w:pStyle w:val="Style10"/>
        <w:widowControl/>
        <w:tabs>
          <w:tab w:val="left" w:pos="360"/>
        </w:tabs>
        <w:spacing w:before="19" w:line="240" w:lineRule="auto"/>
        <w:ind w:right="38" w:firstLine="0"/>
        <w:rPr>
          <w:rStyle w:val="FontStyle19"/>
        </w:rPr>
      </w:pPr>
      <w:r w:rsidRPr="006B40AA">
        <w:rPr>
          <w:rStyle w:val="FontStyle19"/>
          <w:b/>
        </w:rPr>
        <w:t>3.</w:t>
      </w:r>
      <w:r>
        <w:rPr>
          <w:rStyle w:val="FontStyle19"/>
        </w:rPr>
        <w:t xml:space="preserve"> Когато площадката/площадките не отговарят на изискванията на чл. 38,</w:t>
      </w:r>
      <w:r w:rsidRPr="006B40AA">
        <w:rPr>
          <w:rStyle w:val="FontStyle19"/>
          <w:lang w:val="ru-RU"/>
        </w:rPr>
        <w:t xml:space="preserve"> </w:t>
      </w:r>
      <w:r>
        <w:rPr>
          <w:rStyle w:val="FontStyle19"/>
          <w:lang w:val="en-US"/>
        </w:rPr>
        <w:t>an</w:t>
      </w:r>
      <w:r w:rsidRPr="006B40AA">
        <w:rPr>
          <w:rStyle w:val="FontStyle19"/>
          <w:lang w:val="ru-RU"/>
        </w:rPr>
        <w:t>.</w:t>
      </w:r>
      <w:r>
        <w:rPr>
          <w:rStyle w:val="FontStyle19"/>
        </w:rPr>
        <w:t xml:space="preserve"> 1 от ЗУО и не е подадено заявление, разрешението, съответно регистрационният документ, запазват действието си </w:t>
      </w:r>
      <w:r>
        <w:rPr>
          <w:rStyle w:val="FontStyle15"/>
        </w:rPr>
        <w:t xml:space="preserve">в срок до 03.01.2019 г. </w:t>
      </w:r>
      <w:r>
        <w:rPr>
          <w:rStyle w:val="FontStyle19"/>
        </w:rPr>
        <w:t xml:space="preserve">от влизането в сила на този закон. В този случай </w:t>
      </w:r>
      <w:r>
        <w:rPr>
          <w:rStyle w:val="FontStyle15"/>
        </w:rPr>
        <w:t xml:space="preserve">лицето </w:t>
      </w:r>
      <w:r>
        <w:rPr>
          <w:rStyle w:val="FontStyle19"/>
        </w:rPr>
        <w:t xml:space="preserve">е длъжно да преустанови дейността и да предприеме необходимите мерки за почистване на площадките </w:t>
      </w:r>
      <w:r>
        <w:rPr>
          <w:rStyle w:val="FontStyle15"/>
        </w:rPr>
        <w:t xml:space="preserve">в срок до 03.04.2019 г. </w:t>
      </w:r>
      <w:r>
        <w:rPr>
          <w:rStyle w:val="FontStyle19"/>
        </w:rPr>
        <w:t xml:space="preserve">В този случай когато разрешението или регистрационният документ включват и площадка, съответно дейности с отпадъци, които отговарят на изискванията на чл. 38, ал. 1, </w:t>
      </w:r>
      <w:r>
        <w:rPr>
          <w:rStyle w:val="FontStyle15"/>
        </w:rPr>
        <w:t xml:space="preserve">компетентният орган </w:t>
      </w:r>
      <w:r>
        <w:rPr>
          <w:rStyle w:val="FontStyle19"/>
        </w:rPr>
        <w:t>изменя служебно разрешението, съответно регистрационния документ, като заличава площадката/площадките, съответно дейностите с отпадъци, които не отговарят на изискванията на чл. 38, ал. 1; (§66, ал. 3 и 4 от ПЗР на ЗИД на ЗУО)</w:t>
      </w:r>
    </w:p>
    <w:p w:rsidR="003B5EFC" w:rsidRDefault="003B5EFC" w:rsidP="006B40AA">
      <w:pPr>
        <w:pStyle w:val="Style10"/>
        <w:widowControl/>
        <w:tabs>
          <w:tab w:val="left" w:pos="360"/>
        </w:tabs>
        <w:spacing w:before="19" w:line="240" w:lineRule="auto"/>
        <w:ind w:right="38" w:firstLine="0"/>
        <w:rPr>
          <w:rStyle w:val="FontStyle19"/>
        </w:rPr>
      </w:pPr>
    </w:p>
    <w:p w:rsidR="003B5EFC" w:rsidRDefault="003B5EFC" w:rsidP="006B40AA">
      <w:pPr>
        <w:pStyle w:val="Style10"/>
        <w:widowControl/>
        <w:tabs>
          <w:tab w:val="left" w:pos="360"/>
        </w:tabs>
        <w:spacing w:line="240" w:lineRule="auto"/>
        <w:ind w:right="29" w:firstLine="0"/>
        <w:rPr>
          <w:rStyle w:val="FontStyle19"/>
        </w:rPr>
      </w:pPr>
      <w:r w:rsidRPr="006B40AA">
        <w:rPr>
          <w:rStyle w:val="FontStyle19"/>
          <w:b/>
        </w:rPr>
        <w:t>4.</w:t>
      </w:r>
      <w:r>
        <w:rPr>
          <w:rStyle w:val="FontStyle19"/>
        </w:rPr>
        <w:t xml:space="preserve"> Разплащанията по сделки с ОЧЦМ към физически лица могат да се извършват по касов път (плащане в брой), когато общата стойност на сключените от съответното физическо лице сделки с ОЧЦМ не надвишава 100 лв. в рамките на една календарна година. Всички останали разплащания по сделки с ОЧЦМ се извършват по безкасов път. (чл. 38, ал.4 и ал.5)</w:t>
      </w:r>
    </w:p>
    <w:p w:rsidR="003B5EFC" w:rsidRDefault="003B5EFC" w:rsidP="006B40AA">
      <w:pPr>
        <w:pStyle w:val="Style10"/>
        <w:widowControl/>
        <w:tabs>
          <w:tab w:val="left" w:pos="360"/>
        </w:tabs>
        <w:spacing w:line="240" w:lineRule="auto"/>
        <w:ind w:right="29" w:firstLine="0"/>
        <w:rPr>
          <w:rStyle w:val="FontStyle19"/>
        </w:rPr>
      </w:pPr>
    </w:p>
    <w:p w:rsidR="003B5EFC" w:rsidRDefault="003B5EFC" w:rsidP="006B40AA">
      <w:pPr>
        <w:pStyle w:val="Style10"/>
        <w:widowControl/>
        <w:tabs>
          <w:tab w:val="left" w:pos="360"/>
        </w:tabs>
        <w:spacing w:line="240" w:lineRule="auto"/>
        <w:ind w:right="19" w:firstLine="0"/>
        <w:rPr>
          <w:rStyle w:val="FontStyle19"/>
        </w:rPr>
      </w:pPr>
      <w:r w:rsidRPr="006B40AA">
        <w:rPr>
          <w:rStyle w:val="FontStyle19"/>
          <w:b/>
        </w:rPr>
        <w:t>5.</w:t>
      </w:r>
      <w:r>
        <w:rPr>
          <w:rStyle w:val="FontStyle19"/>
        </w:rPr>
        <w:t xml:space="preserve"> </w:t>
      </w:r>
      <w:r w:rsidRPr="00300111">
        <w:rPr>
          <w:rStyle w:val="FontStyle19"/>
          <w:b/>
        </w:rPr>
        <w:t>Към заявлението за издаване/изменение на разрешение или регистрационен документ вече не се прилага удостоверение по чл. 87, ал. 6 от ДОПК за липса на задължения.</w:t>
      </w:r>
      <w:r>
        <w:rPr>
          <w:rStyle w:val="FontStyle19"/>
        </w:rPr>
        <w:t xml:space="preserve"> Документът се набавя</w:t>
      </w:r>
      <w:bookmarkStart w:id="0" w:name="_GoBack"/>
      <w:bookmarkEnd w:id="0"/>
      <w:r>
        <w:rPr>
          <w:rStyle w:val="FontStyle19"/>
        </w:rPr>
        <w:t xml:space="preserve"> по служебен път от компетентния орган. При забавяне получаването на удостоверението след срока за издаване на акта, същият се издава в тридневен срок от получаването му; (чл. 69, ал. 9 и чл. 71, ал. 2; чл. 78, ал. 7 и 11)</w:t>
      </w:r>
    </w:p>
    <w:p w:rsidR="003B5EFC" w:rsidRDefault="003B5EFC" w:rsidP="006B40AA">
      <w:pPr>
        <w:pStyle w:val="Style10"/>
        <w:widowControl/>
        <w:tabs>
          <w:tab w:val="left" w:pos="360"/>
        </w:tabs>
        <w:spacing w:line="240" w:lineRule="auto"/>
        <w:ind w:right="19" w:firstLine="0"/>
        <w:rPr>
          <w:rStyle w:val="FontStyle19"/>
        </w:rPr>
      </w:pPr>
    </w:p>
    <w:p w:rsidR="003B5EFC" w:rsidRDefault="003B5EFC" w:rsidP="006B40AA">
      <w:pPr>
        <w:pStyle w:val="Style10"/>
        <w:widowControl/>
        <w:tabs>
          <w:tab w:val="left" w:pos="360"/>
        </w:tabs>
        <w:spacing w:line="240" w:lineRule="auto"/>
        <w:ind w:right="10" w:firstLine="0"/>
        <w:rPr>
          <w:rStyle w:val="FontStyle19"/>
        </w:rPr>
      </w:pPr>
      <w:r w:rsidRPr="006B40AA">
        <w:rPr>
          <w:rStyle w:val="FontStyle19"/>
          <w:b/>
        </w:rPr>
        <w:t>6.</w:t>
      </w:r>
      <w:r>
        <w:rPr>
          <w:rStyle w:val="FontStyle19"/>
        </w:rPr>
        <w:t xml:space="preserve"> Към заявлението за разрешение или регистрационен документ за площадки за извършване на дейности с ОЧЦМ, отпадъци от хартия и картон, пластмаса, стъкло, отпадъци от опаковки, ИУЕЕО, НУБА и ИУМПС се прилага оригинал или заверено от компетентен орган копие - извадка от влязъл в сила устройствен план или от друг удостоверителен документ, доказващ, че площадката отговаря на изискванията на чл. 38, ал. 1, а за всички останали площадки - оригинал или заверено от компетентен орган копие - извадка от влязъл в сила подробен устройствен план; (чл. 69, ал. 1, т. 9 и чл. 78, ал. 4, т. 5)</w:t>
      </w:r>
    </w:p>
    <w:p w:rsidR="003B5EFC" w:rsidRDefault="003B5EFC" w:rsidP="006B40AA">
      <w:pPr>
        <w:pStyle w:val="Style10"/>
        <w:widowControl/>
        <w:tabs>
          <w:tab w:val="left" w:pos="360"/>
        </w:tabs>
        <w:spacing w:line="240" w:lineRule="auto"/>
        <w:ind w:right="10" w:firstLine="0"/>
        <w:rPr>
          <w:rStyle w:val="FontStyle19"/>
        </w:rPr>
      </w:pPr>
    </w:p>
    <w:p w:rsidR="003B5EFC" w:rsidRDefault="003B5EFC" w:rsidP="006B40AA">
      <w:pPr>
        <w:pStyle w:val="Style10"/>
        <w:widowControl/>
        <w:tabs>
          <w:tab w:val="left" w:pos="346"/>
        </w:tabs>
        <w:spacing w:line="240" w:lineRule="auto"/>
        <w:ind w:firstLine="0"/>
        <w:rPr>
          <w:rStyle w:val="FontStyle19"/>
        </w:rPr>
      </w:pPr>
      <w:r w:rsidRPr="006B40AA">
        <w:rPr>
          <w:rStyle w:val="FontStyle19"/>
          <w:b/>
        </w:rPr>
        <w:t>7.</w:t>
      </w:r>
      <w:r>
        <w:rPr>
          <w:rStyle w:val="FontStyle19"/>
        </w:rPr>
        <w:t xml:space="preserve"> Към заявлението за разрешение или регистрационен документ се прилага заверено копие на документ за собственост или копие на договор за наем, придружен с документ за собственост (чл. 69, ал. 1, т. 10 и чл. 78, ал. 4, т. 3)</w:t>
      </w:r>
    </w:p>
    <w:p w:rsidR="003B5EFC" w:rsidRDefault="003B5EFC" w:rsidP="006B40AA">
      <w:pPr>
        <w:pStyle w:val="Style10"/>
        <w:widowControl/>
        <w:tabs>
          <w:tab w:val="left" w:pos="346"/>
        </w:tabs>
        <w:spacing w:line="240" w:lineRule="auto"/>
        <w:ind w:firstLine="0"/>
        <w:rPr>
          <w:rStyle w:val="FontStyle19"/>
        </w:rPr>
      </w:pPr>
    </w:p>
    <w:p w:rsidR="003B5EFC" w:rsidRDefault="003B5EFC" w:rsidP="006B40AA">
      <w:pPr>
        <w:pStyle w:val="Style10"/>
        <w:widowControl/>
        <w:tabs>
          <w:tab w:val="left" w:pos="346"/>
        </w:tabs>
        <w:spacing w:line="240" w:lineRule="auto"/>
        <w:ind w:firstLine="0"/>
        <w:rPr>
          <w:rStyle w:val="FontStyle19"/>
          <w:b/>
        </w:rPr>
      </w:pPr>
      <w:r w:rsidRPr="006B40AA">
        <w:rPr>
          <w:rStyle w:val="FontStyle19"/>
          <w:b/>
        </w:rPr>
        <w:t>8.</w:t>
      </w:r>
      <w:r>
        <w:rPr>
          <w:rStyle w:val="FontStyle19"/>
          <w:b/>
        </w:rPr>
        <w:t xml:space="preserve"> </w:t>
      </w:r>
      <w:r w:rsidRPr="008C2FED">
        <w:rPr>
          <w:rStyle w:val="FontStyle19"/>
          <w:b/>
        </w:rPr>
        <w:t>Размерът на банковата гаранции за разрешение за извършване на дейности с ОЧЦМ се намалява на 15 000 лв., а за всяка следваща площадка, на която се предвижда дейността - размера не се променя; (чл. 69, ал. 2)</w:t>
      </w:r>
    </w:p>
    <w:p w:rsidR="003B5EFC" w:rsidRPr="008C2FED" w:rsidRDefault="003B5EFC" w:rsidP="006B40AA">
      <w:pPr>
        <w:pStyle w:val="Style10"/>
        <w:widowControl/>
        <w:tabs>
          <w:tab w:val="left" w:pos="346"/>
        </w:tabs>
        <w:spacing w:line="240" w:lineRule="auto"/>
        <w:ind w:firstLine="0"/>
        <w:rPr>
          <w:rStyle w:val="FontStyle19"/>
          <w:b/>
        </w:rPr>
      </w:pPr>
    </w:p>
    <w:p w:rsidR="003B5EFC" w:rsidRDefault="003B5EFC" w:rsidP="006B40AA">
      <w:pPr>
        <w:pStyle w:val="Style10"/>
        <w:widowControl/>
        <w:tabs>
          <w:tab w:val="left" w:pos="619"/>
        </w:tabs>
        <w:spacing w:before="62" w:line="240" w:lineRule="auto"/>
        <w:ind w:firstLine="0"/>
        <w:rPr>
          <w:rStyle w:val="FontStyle19"/>
        </w:rPr>
      </w:pPr>
      <w:r w:rsidRPr="006B40AA">
        <w:rPr>
          <w:rStyle w:val="FontStyle19"/>
          <w:b/>
        </w:rPr>
        <w:t>9.</w:t>
      </w:r>
      <w:r>
        <w:rPr>
          <w:rStyle w:val="FontStyle19"/>
        </w:rPr>
        <w:t xml:space="preserve"> </w:t>
      </w:r>
      <w:r w:rsidRPr="008C2FED">
        <w:rPr>
          <w:rStyle w:val="FontStyle19"/>
          <w:b/>
        </w:rPr>
        <w:t>Банковата гаранция за разрешение за извършване на дейности по третиране на ОЧЦМ се подновява в размер на 15 000 лв. и допълнително по 5 000 лв. за всяка следваща площадка</w:t>
      </w:r>
      <w:r>
        <w:rPr>
          <w:rStyle w:val="FontStyle19"/>
        </w:rPr>
        <w:t xml:space="preserve"> </w:t>
      </w:r>
      <w:r>
        <w:rPr>
          <w:rStyle w:val="FontStyle15"/>
        </w:rPr>
        <w:t xml:space="preserve">в срок до 03.01.2018 г.; </w:t>
      </w:r>
      <w:r>
        <w:rPr>
          <w:rStyle w:val="FontStyle19"/>
        </w:rPr>
        <w:t>(§65, ал. 1 от ПЗР на ЗИД на ЗУО)</w:t>
      </w:r>
    </w:p>
    <w:p w:rsidR="003B5EFC" w:rsidRDefault="003B5EFC" w:rsidP="006B40AA">
      <w:pPr>
        <w:pStyle w:val="Style10"/>
        <w:widowControl/>
        <w:tabs>
          <w:tab w:val="left" w:pos="619"/>
        </w:tabs>
        <w:spacing w:before="62" w:line="240" w:lineRule="auto"/>
        <w:ind w:firstLine="0"/>
        <w:rPr>
          <w:rStyle w:val="FontStyle19"/>
        </w:rPr>
      </w:pPr>
    </w:p>
    <w:p w:rsidR="003B5EFC" w:rsidRPr="008C2FED" w:rsidRDefault="003B5EFC" w:rsidP="006B40AA">
      <w:pPr>
        <w:pStyle w:val="Style10"/>
        <w:widowControl/>
        <w:tabs>
          <w:tab w:val="left" w:pos="619"/>
        </w:tabs>
        <w:spacing w:line="240" w:lineRule="auto"/>
        <w:ind w:firstLine="0"/>
        <w:rPr>
          <w:rStyle w:val="FontStyle19"/>
          <w:b/>
        </w:rPr>
      </w:pPr>
      <w:r w:rsidRPr="006B40AA">
        <w:rPr>
          <w:rStyle w:val="FontStyle19"/>
          <w:b/>
        </w:rPr>
        <w:t>10.</w:t>
      </w:r>
      <w:r>
        <w:rPr>
          <w:rStyle w:val="FontStyle19"/>
        </w:rPr>
        <w:t xml:space="preserve"> </w:t>
      </w:r>
      <w:r w:rsidRPr="008C2FED">
        <w:rPr>
          <w:rStyle w:val="FontStyle19"/>
          <w:b/>
        </w:rPr>
        <w:t>Въвеждат се банкови гаранции разрешение за извършване на дейности с ИУМПС и ИУЕЕО в размер на 15 000 лв.; (чл. 69, ал. 2)</w:t>
      </w:r>
    </w:p>
    <w:p w:rsidR="003B5EFC" w:rsidRDefault="003B5EFC" w:rsidP="006B40AA">
      <w:pPr>
        <w:pStyle w:val="Style10"/>
        <w:widowControl/>
        <w:tabs>
          <w:tab w:val="left" w:pos="619"/>
        </w:tabs>
        <w:spacing w:line="240" w:lineRule="auto"/>
        <w:ind w:firstLine="0"/>
        <w:rPr>
          <w:rStyle w:val="FontStyle19"/>
        </w:rPr>
      </w:pPr>
    </w:p>
    <w:p w:rsidR="003B5EFC" w:rsidRDefault="003B5EFC" w:rsidP="006B40AA">
      <w:pPr>
        <w:pStyle w:val="Style10"/>
        <w:widowControl/>
        <w:tabs>
          <w:tab w:val="left" w:pos="619"/>
        </w:tabs>
        <w:spacing w:line="240" w:lineRule="auto"/>
        <w:ind w:firstLine="0"/>
        <w:rPr>
          <w:rStyle w:val="FontStyle19"/>
        </w:rPr>
      </w:pPr>
      <w:r w:rsidRPr="006B40AA">
        <w:rPr>
          <w:rStyle w:val="FontStyle19"/>
          <w:b/>
        </w:rPr>
        <w:t>11.</w:t>
      </w:r>
      <w:r>
        <w:rPr>
          <w:rStyle w:val="FontStyle19"/>
        </w:rPr>
        <w:t xml:space="preserve"> </w:t>
      </w:r>
      <w:r w:rsidRPr="008C2FED">
        <w:rPr>
          <w:rStyle w:val="FontStyle19"/>
          <w:b/>
        </w:rPr>
        <w:t>Банкова гаранция за разрешение за извършване на дейности по третиране на ИУМПС и ИУЕЕО в размер на 15 000 лв.</w:t>
      </w:r>
      <w:r>
        <w:rPr>
          <w:rStyle w:val="FontStyle19"/>
        </w:rPr>
        <w:t xml:space="preserve"> </w:t>
      </w:r>
      <w:r w:rsidRPr="008C2FED">
        <w:rPr>
          <w:rStyle w:val="FontStyle19"/>
          <w:b/>
        </w:rPr>
        <w:t>и допълнително по 5 000 лв. за всяка следваща площадка</w:t>
      </w:r>
      <w:r>
        <w:rPr>
          <w:rStyle w:val="FontStyle19"/>
        </w:rPr>
        <w:t xml:space="preserve"> </w:t>
      </w:r>
      <w:r w:rsidRPr="008C2FED">
        <w:rPr>
          <w:rStyle w:val="FontStyle19"/>
          <w:b/>
        </w:rPr>
        <w:t>се представя</w:t>
      </w:r>
      <w:r>
        <w:rPr>
          <w:rStyle w:val="FontStyle19"/>
        </w:rPr>
        <w:t xml:space="preserve"> </w:t>
      </w:r>
      <w:r>
        <w:rPr>
          <w:rStyle w:val="FontStyle15"/>
        </w:rPr>
        <w:t xml:space="preserve">в срок до 03.04.2017 г. </w:t>
      </w:r>
      <w:r>
        <w:rPr>
          <w:rStyle w:val="FontStyle19"/>
        </w:rPr>
        <w:t>При неизпълнение на тази разпоредба разрешението по на лицето, извършващо дейности с ИУЕЕО и ИУМПС, се отнема или се изменя служебно от компетентния орган, като се заличават дейностите с ИУЕЕО и ИУМПС; (§65, ал. 1 от ПЗР на ЗИД на ЗУО)</w:t>
      </w:r>
    </w:p>
    <w:p w:rsidR="003B5EFC" w:rsidRDefault="003B5EFC" w:rsidP="006B40AA">
      <w:pPr>
        <w:pStyle w:val="Style10"/>
        <w:widowControl/>
        <w:tabs>
          <w:tab w:val="left" w:pos="619"/>
        </w:tabs>
        <w:spacing w:line="240" w:lineRule="auto"/>
        <w:ind w:firstLine="0"/>
        <w:rPr>
          <w:rStyle w:val="FontStyle19"/>
        </w:rPr>
      </w:pPr>
    </w:p>
    <w:p w:rsidR="003B5EFC" w:rsidRDefault="003B5EFC" w:rsidP="006B40AA">
      <w:pPr>
        <w:pStyle w:val="Style10"/>
        <w:widowControl/>
        <w:tabs>
          <w:tab w:val="left" w:pos="619"/>
        </w:tabs>
        <w:spacing w:before="24" w:line="240" w:lineRule="auto"/>
        <w:ind w:firstLine="0"/>
        <w:rPr>
          <w:rStyle w:val="FontStyle19"/>
        </w:rPr>
      </w:pPr>
      <w:r w:rsidRPr="006B40AA">
        <w:rPr>
          <w:rStyle w:val="FontStyle19"/>
          <w:b/>
        </w:rPr>
        <w:t>12.</w:t>
      </w:r>
      <w:r>
        <w:rPr>
          <w:rStyle w:val="FontStyle19"/>
        </w:rPr>
        <w:t xml:space="preserve"> Банковата гаранция за разрешение за извършване на дейности по третиране на ОЧЦМ, ИУМПС и/или ИУЕЕО е в размер 15 000 лв. и допълнително по 5000 лв. за всяка площадка, на която се предвижда да бъде извършвана дейността, независимо от броя на изброените потоци отпадъци; (чл. 69, ал. 2)</w:t>
      </w:r>
    </w:p>
    <w:p w:rsidR="003B5EFC" w:rsidRDefault="003B5EFC">
      <w:pPr>
        <w:widowControl/>
        <w:rPr>
          <w:rStyle w:val="FontStyle16"/>
        </w:rPr>
      </w:pPr>
    </w:p>
    <w:sectPr w:rsidR="003B5EFC" w:rsidSect="00F15F38">
      <w:type w:val="continuous"/>
      <w:pgSz w:w="11905" w:h="16837"/>
      <w:pgMar w:top="1443" w:right="1176" w:bottom="969" w:left="1526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FC" w:rsidRDefault="003B5EFC">
      <w:r>
        <w:separator/>
      </w:r>
    </w:p>
  </w:endnote>
  <w:endnote w:type="continuationSeparator" w:id="0">
    <w:p w:rsidR="003B5EFC" w:rsidRDefault="003B5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FC" w:rsidRDefault="003B5EFC">
      <w:r>
        <w:separator/>
      </w:r>
    </w:p>
  </w:footnote>
  <w:footnote w:type="continuationSeparator" w:id="0">
    <w:p w:rsidR="003B5EFC" w:rsidRDefault="003B5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69B5"/>
    <w:multiLevelType w:val="singleLevel"/>
    <w:tmpl w:val="4EE6304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4265CE1"/>
    <w:multiLevelType w:val="singleLevel"/>
    <w:tmpl w:val="FAC293C2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EB9"/>
    <w:rsid w:val="00142EB9"/>
    <w:rsid w:val="00300111"/>
    <w:rsid w:val="003823C3"/>
    <w:rsid w:val="003B5EFC"/>
    <w:rsid w:val="006B40AA"/>
    <w:rsid w:val="007B6AEF"/>
    <w:rsid w:val="008B3449"/>
    <w:rsid w:val="008C2FED"/>
    <w:rsid w:val="00A06A92"/>
    <w:rsid w:val="00A77F3C"/>
    <w:rsid w:val="00F15F38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3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15F38"/>
    <w:pPr>
      <w:spacing w:line="576" w:lineRule="exact"/>
      <w:jc w:val="center"/>
    </w:pPr>
  </w:style>
  <w:style w:type="paragraph" w:customStyle="1" w:styleId="Style2">
    <w:name w:val="Style2"/>
    <w:basedOn w:val="Normal"/>
    <w:uiPriority w:val="99"/>
    <w:rsid w:val="00F15F38"/>
  </w:style>
  <w:style w:type="paragraph" w:customStyle="1" w:styleId="Style3">
    <w:name w:val="Style3"/>
    <w:basedOn w:val="Normal"/>
    <w:uiPriority w:val="99"/>
    <w:rsid w:val="00F15F38"/>
    <w:pPr>
      <w:spacing w:line="590" w:lineRule="exact"/>
      <w:ind w:firstLine="269"/>
    </w:pPr>
  </w:style>
  <w:style w:type="paragraph" w:customStyle="1" w:styleId="Style4">
    <w:name w:val="Style4"/>
    <w:basedOn w:val="Normal"/>
    <w:uiPriority w:val="99"/>
    <w:rsid w:val="00F15F38"/>
  </w:style>
  <w:style w:type="paragraph" w:customStyle="1" w:styleId="Style5">
    <w:name w:val="Style5"/>
    <w:basedOn w:val="Normal"/>
    <w:uiPriority w:val="99"/>
    <w:rsid w:val="00F15F38"/>
  </w:style>
  <w:style w:type="paragraph" w:customStyle="1" w:styleId="Style6">
    <w:name w:val="Style6"/>
    <w:basedOn w:val="Normal"/>
    <w:uiPriority w:val="99"/>
    <w:rsid w:val="00F15F38"/>
    <w:pPr>
      <w:spacing w:line="278" w:lineRule="exact"/>
    </w:pPr>
  </w:style>
  <w:style w:type="paragraph" w:customStyle="1" w:styleId="Style7">
    <w:name w:val="Style7"/>
    <w:basedOn w:val="Normal"/>
    <w:uiPriority w:val="99"/>
    <w:rsid w:val="00F15F38"/>
  </w:style>
  <w:style w:type="paragraph" w:customStyle="1" w:styleId="Style8">
    <w:name w:val="Style8"/>
    <w:basedOn w:val="Normal"/>
    <w:uiPriority w:val="99"/>
    <w:rsid w:val="00F15F38"/>
  </w:style>
  <w:style w:type="paragraph" w:customStyle="1" w:styleId="Style9">
    <w:name w:val="Style9"/>
    <w:basedOn w:val="Normal"/>
    <w:uiPriority w:val="99"/>
    <w:rsid w:val="00F15F38"/>
    <w:pPr>
      <w:spacing w:line="279" w:lineRule="exact"/>
      <w:ind w:firstLine="710"/>
      <w:jc w:val="both"/>
    </w:pPr>
  </w:style>
  <w:style w:type="paragraph" w:customStyle="1" w:styleId="Style10">
    <w:name w:val="Style10"/>
    <w:basedOn w:val="Normal"/>
    <w:uiPriority w:val="99"/>
    <w:rsid w:val="00F15F38"/>
    <w:pPr>
      <w:spacing w:line="326" w:lineRule="exact"/>
      <w:ind w:hanging="355"/>
      <w:jc w:val="both"/>
    </w:pPr>
  </w:style>
  <w:style w:type="paragraph" w:customStyle="1" w:styleId="Style11">
    <w:name w:val="Style11"/>
    <w:basedOn w:val="Normal"/>
    <w:uiPriority w:val="99"/>
    <w:rsid w:val="00F15F38"/>
    <w:pPr>
      <w:spacing w:line="322" w:lineRule="exact"/>
      <w:jc w:val="both"/>
    </w:pPr>
  </w:style>
  <w:style w:type="paragraph" w:customStyle="1" w:styleId="Style12">
    <w:name w:val="Style12"/>
    <w:basedOn w:val="Normal"/>
    <w:uiPriority w:val="99"/>
    <w:rsid w:val="00F15F38"/>
    <w:pPr>
      <w:spacing w:line="322" w:lineRule="exact"/>
      <w:ind w:firstLine="715"/>
    </w:pPr>
  </w:style>
  <w:style w:type="character" w:customStyle="1" w:styleId="FontStyle14">
    <w:name w:val="Font Style14"/>
    <w:basedOn w:val="DefaultParagraphFont"/>
    <w:uiPriority w:val="99"/>
    <w:rsid w:val="00F15F38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5">
    <w:name w:val="Font Style15"/>
    <w:basedOn w:val="DefaultParagraphFont"/>
    <w:uiPriority w:val="99"/>
    <w:rsid w:val="00F15F3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F15F3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F15F38"/>
    <w:rPr>
      <w:rFonts w:ascii="Aharoni" w:cs="Aharoni"/>
      <w:sz w:val="8"/>
      <w:szCs w:val="8"/>
      <w:lang w:bidi="he-IL"/>
    </w:rPr>
  </w:style>
  <w:style w:type="character" w:customStyle="1" w:styleId="FontStyle18">
    <w:name w:val="Font Style18"/>
    <w:basedOn w:val="DefaultParagraphFont"/>
    <w:uiPriority w:val="99"/>
    <w:rsid w:val="00F15F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F15F38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F15F38"/>
    <w:rPr>
      <w:rFonts w:ascii="Verdana" w:hAnsi="Verdana" w:cs="Verdana"/>
      <w:b/>
      <w:bCs/>
      <w:i/>
      <w:iCs/>
      <w:sz w:val="16"/>
      <w:szCs w:val="16"/>
    </w:rPr>
  </w:style>
  <w:style w:type="character" w:customStyle="1" w:styleId="FontStyle21">
    <w:name w:val="Font Style21"/>
    <w:basedOn w:val="DefaultParagraphFont"/>
    <w:uiPriority w:val="99"/>
    <w:rsid w:val="00F15F38"/>
    <w:rPr>
      <w:rFonts w:ascii="Times New Roman" w:hAnsi="Times New Roman" w:cs="Times New Roman"/>
      <w:spacing w:val="-60"/>
      <w:sz w:val="60"/>
      <w:szCs w:val="60"/>
    </w:rPr>
  </w:style>
  <w:style w:type="character" w:customStyle="1" w:styleId="FontStyle22">
    <w:name w:val="Font Style22"/>
    <w:basedOn w:val="DefaultParagraphFont"/>
    <w:uiPriority w:val="99"/>
    <w:rsid w:val="00F15F38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DefaultParagraphFont"/>
    <w:uiPriority w:val="99"/>
    <w:rsid w:val="00F15F38"/>
    <w:rPr>
      <w:rFonts w:ascii="Times New Roman" w:hAnsi="Times New Roman" w:cs="Times New Roman"/>
      <w:i/>
      <w:iCs/>
      <w:spacing w:val="-10"/>
      <w:sz w:val="40"/>
      <w:szCs w:val="40"/>
    </w:rPr>
  </w:style>
  <w:style w:type="character" w:styleId="Hyperlink">
    <w:name w:val="Hyperlink"/>
    <w:basedOn w:val="DefaultParagraphFont"/>
    <w:uiPriority w:val="99"/>
    <w:rsid w:val="00F15F38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785</Words>
  <Characters>4475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Krysteva</dc:creator>
  <cp:keywords/>
  <dc:description/>
  <cp:lastModifiedBy>Koparanski</cp:lastModifiedBy>
  <cp:revision>7</cp:revision>
  <dcterms:created xsi:type="dcterms:W3CDTF">2017-01-23T14:34:00Z</dcterms:created>
  <dcterms:modified xsi:type="dcterms:W3CDTF">2017-01-24T07:07:00Z</dcterms:modified>
</cp:coreProperties>
</file>