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FF27DA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</w:t>
      </w:r>
      <w:r w:rsidR="00FF27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r w:rsidR="00F61B7E">
        <w:rPr>
          <w:rFonts w:ascii="Times New Roman" w:hAnsi="Times New Roman" w:cs="Times New Roman"/>
          <w:b/>
          <w:sz w:val="24"/>
          <w:szCs w:val="24"/>
        </w:rPr>
        <w:t>СТ.</w:t>
      </w:r>
      <w:r w:rsidR="00FF27DA" w:rsidRPr="00FF27DA">
        <w:rPr>
          <w:rFonts w:ascii="Times New Roman" w:hAnsi="Times New Roman" w:cs="Times New Roman"/>
          <w:b/>
          <w:sz w:val="24"/>
          <w:szCs w:val="24"/>
        </w:rPr>
        <w:t xml:space="preserve"> ЯКИМОВ</w:t>
      </w:r>
    </w:p>
    <w:p w:rsidR="00F61B7E" w:rsidRDefault="00F61B7E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61B7E" w:rsidRDefault="00F61B7E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</w:p>
    <w:p w:rsidR="00FF27DA" w:rsidRDefault="007A0A38" w:rsidP="00FF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</w:p>
    <w:p w:rsidR="007D5536" w:rsidRPr="00FF27DA" w:rsidRDefault="00FF27DA" w:rsidP="00FF2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t>ПУП/ПРЗ ЗА ПРОМЯНА ПРЕДНАЗНАЧЕ</w:t>
      </w:r>
      <w:r>
        <w:rPr>
          <w:rFonts w:ascii="Times New Roman" w:hAnsi="Times New Roman" w:cs="Times New Roman"/>
          <w:b/>
          <w:sz w:val="24"/>
          <w:szCs w:val="24"/>
        </w:rPr>
        <w:t>НИЕТО НА ПОЗЕМЛЕН ИМОТ 16955.36.95,с Н.Т.П. нива</w:t>
      </w:r>
      <w:r w:rsidRPr="00FF27DA">
        <w:rPr>
          <w:rFonts w:ascii="Times New Roman" w:hAnsi="Times New Roman" w:cs="Times New Roman"/>
          <w:b/>
          <w:sz w:val="24"/>
          <w:szCs w:val="24"/>
        </w:rPr>
        <w:t>,землище с.Горнослав,</w:t>
      </w:r>
      <w:r>
        <w:rPr>
          <w:rFonts w:ascii="Times New Roman" w:hAnsi="Times New Roman" w:cs="Times New Roman"/>
          <w:b/>
          <w:sz w:val="24"/>
          <w:szCs w:val="24"/>
        </w:rPr>
        <w:t>местност „Дъбите“,Община Асеновград, Област Пловдив,</w:t>
      </w:r>
      <w:r w:rsidRPr="00FF27DA">
        <w:rPr>
          <w:rFonts w:ascii="Times New Roman" w:hAnsi="Times New Roman" w:cs="Times New Roman"/>
          <w:b/>
          <w:sz w:val="24"/>
          <w:szCs w:val="24"/>
        </w:rPr>
        <w:t>ЗА ЖИЛИЩНО СТРОИТЕЛСТВО</w:t>
      </w: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FF27DA" w:rsidRPr="00FF27DA" w:rsidRDefault="00754AF2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27DA" w:rsidRPr="00FF27DA">
        <w:rPr>
          <w:rFonts w:ascii="Times New Roman" w:hAnsi="Times New Roman" w:cs="Times New Roman"/>
          <w:b/>
          <w:sz w:val="24"/>
          <w:szCs w:val="24"/>
        </w:rPr>
        <w:t>Ново инвестиционно предложение, с реализацията на което се предвижда строителство на една жилищна сграда. От имота  ще се образува  един УПИ с отреждане за Жилищно строителство. Сградата  ще бъде реализирана, съгласно проектните части архитектурна,конструкции и инженерни мрежи за инфраструктура, озеленяване и др. Теренът е достатъчен за извършване на предвидените дейности и не се налага да бъдат използвани допълнителни площи извън наличната площ на имотите.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FF27DA" w:rsidRDefault="00FF27DA" w:rsidP="00FF27D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t xml:space="preserve">         Във връзка с желанието на Възложителите за промяна на предназначението на земята за ЖИЛИЩНО СТРОИТЕЛСТВО, е направено проучване за съществуващото положение на поземлените имоти по отношение на възможностите да се</w:t>
      </w:r>
      <w:r w:rsidR="004243A0">
        <w:rPr>
          <w:rFonts w:ascii="Times New Roman" w:hAnsi="Times New Roman" w:cs="Times New Roman"/>
          <w:b/>
          <w:sz w:val="24"/>
          <w:szCs w:val="24"/>
        </w:rPr>
        <w:t xml:space="preserve"> извърши строителство на жилищна сграда</w:t>
      </w:r>
      <w:r w:rsidRPr="00FF27DA">
        <w:rPr>
          <w:rFonts w:ascii="Times New Roman" w:hAnsi="Times New Roman" w:cs="Times New Roman"/>
          <w:b/>
          <w:sz w:val="24"/>
          <w:szCs w:val="24"/>
        </w:rPr>
        <w:t>,с необходимата за това инфраструктура- водоснабдяване , електроснабдяване, транспортен достъ</w:t>
      </w:r>
      <w:r>
        <w:rPr>
          <w:rFonts w:ascii="Times New Roman" w:hAnsi="Times New Roman" w:cs="Times New Roman"/>
          <w:b/>
          <w:sz w:val="24"/>
          <w:szCs w:val="24"/>
        </w:rPr>
        <w:t xml:space="preserve">п. Поземлен Имот с ид. 16955.36.95 е 1073 </w:t>
      </w:r>
      <w:r w:rsidRPr="00FF27DA">
        <w:rPr>
          <w:rFonts w:ascii="Times New Roman" w:hAnsi="Times New Roman" w:cs="Times New Roman"/>
          <w:b/>
          <w:sz w:val="24"/>
          <w:szCs w:val="24"/>
        </w:rPr>
        <w:t xml:space="preserve">кв.м.,с Н.Т.П. </w:t>
      </w:r>
      <w:r w:rsidR="0025215A">
        <w:rPr>
          <w:rFonts w:ascii="Times New Roman" w:hAnsi="Times New Roman" w:cs="Times New Roman"/>
          <w:b/>
          <w:sz w:val="24"/>
          <w:szCs w:val="24"/>
        </w:rPr>
        <w:t>нива, категория нула.</w:t>
      </w:r>
    </w:p>
    <w:p w:rsidR="0025215A" w:rsidRPr="0025215A" w:rsidRDefault="0025215A" w:rsidP="0025215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Транспортния дост</w:t>
      </w:r>
      <w:r w:rsidR="00754AF2">
        <w:rPr>
          <w:rFonts w:ascii="Times New Roman" w:hAnsi="Times New Roman" w:cs="Times New Roman"/>
          <w:b/>
          <w:sz w:val="24"/>
          <w:szCs w:val="24"/>
        </w:rPr>
        <w:t>ъп до имота ще се осъществи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прилежащия полски път от север с ид.</w:t>
      </w:r>
      <w:r w:rsidRPr="0025215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16955.36.140.Имот </w:t>
      </w:r>
      <w:r w:rsidRPr="0025215A">
        <w:rPr>
          <w:rFonts w:ascii="Times New Roman" w:hAnsi="Times New Roman" w:cs="Times New Roman"/>
          <w:b/>
          <w:sz w:val="24"/>
          <w:szCs w:val="24"/>
        </w:rPr>
        <w:t>16955.36.95</w:t>
      </w:r>
      <w:r w:rsidR="00754AF2">
        <w:rPr>
          <w:rFonts w:ascii="Times New Roman" w:hAnsi="Times New Roman" w:cs="Times New Roman"/>
          <w:b/>
          <w:sz w:val="24"/>
          <w:szCs w:val="24"/>
        </w:rPr>
        <w:t xml:space="preserve"> има лице 45.78м. и се намир</w:t>
      </w:r>
      <w:r>
        <w:rPr>
          <w:rFonts w:ascii="Times New Roman" w:hAnsi="Times New Roman" w:cs="Times New Roman"/>
          <w:b/>
          <w:sz w:val="24"/>
          <w:szCs w:val="24"/>
        </w:rPr>
        <w:t>а на около 200 м. източно от регулацията на с.Горнослав.</w:t>
      </w:r>
    </w:p>
    <w:p w:rsidR="004D1336" w:rsidRDefault="00FF27DA" w:rsidP="004D1336">
      <w:pPr>
        <w:ind w:right="72"/>
        <w:jc w:val="both"/>
      </w:pPr>
      <w:r w:rsidRPr="00FF27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25215A">
        <w:rPr>
          <w:rFonts w:ascii="Times New Roman" w:hAnsi="Times New Roman" w:cs="Times New Roman"/>
          <w:b/>
          <w:sz w:val="24"/>
          <w:szCs w:val="24"/>
        </w:rPr>
        <w:t xml:space="preserve">Съгласно становище на ВиК Пловдив,поради отдалечеността на имота от селото няма възможност за </w:t>
      </w:r>
      <w:r w:rsidRPr="00FF27DA">
        <w:rPr>
          <w:rFonts w:ascii="Times New Roman" w:hAnsi="Times New Roman" w:cs="Times New Roman"/>
          <w:b/>
          <w:sz w:val="24"/>
          <w:szCs w:val="24"/>
        </w:rPr>
        <w:t>Водоснабдяв</w:t>
      </w:r>
      <w:r w:rsidR="0025215A">
        <w:rPr>
          <w:rFonts w:ascii="Times New Roman" w:hAnsi="Times New Roman" w:cs="Times New Roman"/>
          <w:b/>
          <w:sz w:val="24"/>
          <w:szCs w:val="24"/>
        </w:rPr>
        <w:t>ан</w:t>
      </w:r>
      <w:r w:rsidR="003C603B">
        <w:rPr>
          <w:rFonts w:ascii="Times New Roman" w:hAnsi="Times New Roman" w:cs="Times New Roman"/>
          <w:b/>
          <w:sz w:val="24"/>
          <w:szCs w:val="24"/>
        </w:rPr>
        <w:t>е</w:t>
      </w:r>
      <w:r w:rsidR="0025215A">
        <w:rPr>
          <w:rFonts w:ascii="Times New Roman" w:hAnsi="Times New Roman" w:cs="Times New Roman"/>
          <w:b/>
          <w:sz w:val="24"/>
          <w:szCs w:val="24"/>
        </w:rPr>
        <w:t xml:space="preserve"> на обекта от местната водопро</w:t>
      </w:r>
      <w:r w:rsidR="003C603B">
        <w:rPr>
          <w:rFonts w:ascii="Times New Roman" w:hAnsi="Times New Roman" w:cs="Times New Roman"/>
          <w:b/>
          <w:sz w:val="24"/>
          <w:szCs w:val="24"/>
        </w:rPr>
        <w:t>во</w:t>
      </w:r>
      <w:r w:rsidR="0025215A">
        <w:rPr>
          <w:rFonts w:ascii="Times New Roman" w:hAnsi="Times New Roman" w:cs="Times New Roman"/>
          <w:b/>
          <w:sz w:val="24"/>
          <w:szCs w:val="24"/>
        </w:rPr>
        <w:t xml:space="preserve">дна </w:t>
      </w:r>
      <w:r w:rsidR="003C603B">
        <w:rPr>
          <w:rFonts w:ascii="Times New Roman" w:hAnsi="Times New Roman" w:cs="Times New Roman"/>
          <w:b/>
          <w:sz w:val="24"/>
          <w:szCs w:val="24"/>
        </w:rPr>
        <w:t>мрежа.</w:t>
      </w:r>
      <w:r w:rsidR="003C603B" w:rsidRPr="003C603B">
        <w:t xml:space="preserve"> </w:t>
      </w:r>
    </w:p>
    <w:p w:rsidR="004D1336" w:rsidRPr="004D1336" w:rsidRDefault="004D1336" w:rsidP="004D1336">
      <w:pPr>
        <w:ind w:right="72"/>
        <w:jc w:val="both"/>
        <w:rPr>
          <w:rFonts w:ascii="Times New Roman" w:hAnsi="Times New Roman" w:cs="Times New Roman"/>
        </w:rPr>
      </w:pPr>
      <w:r>
        <w:t xml:space="preserve">          </w:t>
      </w:r>
      <w:r w:rsidRPr="004D1336">
        <w:rPr>
          <w:rFonts w:ascii="Times New Roman" w:hAnsi="Times New Roman" w:cs="Times New Roman"/>
        </w:rPr>
        <w:t xml:space="preserve"> </w:t>
      </w:r>
      <w:r w:rsidR="00D317A2">
        <w:rPr>
          <w:rFonts w:ascii="Times New Roman" w:eastAsia="Calibri" w:hAnsi="Times New Roman" w:cs="Times New Roman"/>
          <w:b/>
          <w:sz w:val="24"/>
          <w:szCs w:val="24"/>
        </w:rPr>
        <w:t>Възложител на новообразувания УПИ е физическо лице, кое</w:t>
      </w:r>
      <w:r w:rsidRPr="004D1336">
        <w:rPr>
          <w:rFonts w:ascii="Times New Roman" w:eastAsia="Calibri" w:hAnsi="Times New Roman" w:cs="Times New Roman"/>
          <w:b/>
          <w:sz w:val="24"/>
          <w:szCs w:val="24"/>
        </w:rPr>
        <w:t>то на основан</w:t>
      </w:r>
      <w:r w:rsidR="00D317A2">
        <w:rPr>
          <w:rFonts w:ascii="Times New Roman" w:eastAsia="Calibri" w:hAnsi="Times New Roman" w:cs="Times New Roman"/>
          <w:b/>
          <w:sz w:val="24"/>
          <w:szCs w:val="24"/>
        </w:rPr>
        <w:t>ие чл.44, ал.4 от ЗВ ще изгради</w:t>
      </w:r>
      <w:r w:rsidRPr="004D1336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 водоизточник. Физическите лица не е необходимо да имат разрешителни за водовземане от подземни води. За кладенец за индивидуално безплатно водовземане на подземни води не е необходимо разрешително. Изграждането ще става след като собственикът уведоми Директора на съответната басейнова дирекция, а  в тримесечен срок от изграждането му следва да впише кладенеца/сондажа в регистъра на водовземните съоръжения от подземни води за задоволяване на собствени потребности на гражданите.</w:t>
      </w:r>
    </w:p>
    <w:p w:rsidR="004D1336" w:rsidRPr="004D1336" w:rsidRDefault="004D1336" w:rsidP="004D13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336">
        <w:rPr>
          <w:rFonts w:ascii="Times New Roman" w:eastAsia="Calibri" w:hAnsi="Times New Roman" w:cs="Times New Roman"/>
          <w:b/>
          <w:sz w:val="24"/>
          <w:szCs w:val="24"/>
        </w:rPr>
        <w:t>В имота ще се изгради самостоятелен водоизточник - сондаж за собствени нужди с координати:</w:t>
      </w:r>
    </w:p>
    <w:p w:rsidR="004D1336" w:rsidRPr="004D1336" w:rsidRDefault="004D1336" w:rsidP="004D1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3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WGS84(GPS)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В: 41°5</w:t>
      </w:r>
      <w:r w:rsidRPr="004D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’18.541”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24°57’50.795</w:t>
      </w:r>
      <w:r w:rsidRPr="004D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4D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D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(m) 484.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D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D1336" w:rsidRPr="00D317A2" w:rsidRDefault="004D1336" w:rsidP="004D13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Проектната дълбочина </w:t>
      </w:r>
      <w:r w:rsidR="00D317A2" w:rsidRPr="00D3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сондажа ще бъде до 2</w:t>
      </w:r>
      <w:r w:rsidRPr="00D317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0м. </w:t>
      </w:r>
    </w:p>
    <w:p w:rsidR="004D1336" w:rsidRPr="004D1336" w:rsidRDefault="004D1336" w:rsidP="004D13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336">
        <w:rPr>
          <w:rFonts w:ascii="Times New Roman" w:eastAsia="Calibri" w:hAnsi="Times New Roman" w:cs="Times New Roman"/>
          <w:b/>
          <w:sz w:val="24"/>
          <w:szCs w:val="24"/>
        </w:rPr>
        <w:t>Водовземането за собствени нужди е безплатно до 10 м3/д съгласно чл.43, ал.2, Закона за водите: Физическите лица - собственици или ползватели на недвижим имот, разположен в границите на населените места и селищните образувания, имат право на безвъзмездно водовземане до 10 куб.м на денонощие за собствени потребности от намиращите се в него повърхностни и подземни води, както и в случаите на ползване на индивидуални системи за отопление и/или охлаждане с обща инсталирана мощност до 50 kW, използващи като първичен енергиен източник енергията на сухите зони в земните недра и на подземните води с температура до 20 °С, с изключение на минералните води.</w:t>
      </w:r>
    </w:p>
    <w:p w:rsidR="004D1336" w:rsidRDefault="004D1336" w:rsidP="004D13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CC" w:rsidRPr="009F59CC" w:rsidRDefault="009F59CC" w:rsidP="009F59CC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CC">
        <w:rPr>
          <w:rFonts w:ascii="Times New Roman" w:hAnsi="Times New Roman" w:cs="Times New Roman"/>
          <w:b/>
          <w:sz w:val="24"/>
          <w:szCs w:val="24"/>
        </w:rPr>
        <w:t>За питейни нужди на живущите ще се ползва бутилирана минерална вода.</w:t>
      </w:r>
    </w:p>
    <w:p w:rsidR="009F59CC" w:rsidRPr="00FF27DA" w:rsidRDefault="009F59CC" w:rsidP="009F59CC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CC">
        <w:rPr>
          <w:rFonts w:ascii="Times New Roman" w:hAnsi="Times New Roman" w:cs="Times New Roman"/>
          <w:b/>
          <w:sz w:val="24"/>
          <w:szCs w:val="24"/>
        </w:rPr>
        <w:t>За противопожарни нужди ще се изпълни ПП резервоар, разположен подземно.</w:t>
      </w:r>
    </w:p>
    <w:p w:rsidR="00FF27DA" w:rsidRPr="00FF27DA" w:rsidRDefault="00FF27DA" w:rsidP="00FF27D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t xml:space="preserve">         За битовите отпадни води ще се изгради водоплътна яма в рамките на УПИ,ситуирана на съответните допустими нормативни отстояния от границите и съобразена с местоположението на бъдещото застрояване.</w:t>
      </w:r>
    </w:p>
    <w:p w:rsidR="00FF27DA" w:rsidRPr="00FF27DA" w:rsidRDefault="00FF27DA" w:rsidP="00FF27D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Дъждовните води от покривите на сградите и плочниците ще се отвеждат повърхностно в тревните площи.</w:t>
      </w:r>
    </w:p>
    <w:p w:rsidR="00FF27DA" w:rsidRPr="00FF27DA" w:rsidRDefault="00FF27DA" w:rsidP="00FF27D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t xml:space="preserve">         Елек</w:t>
      </w:r>
      <w:r w:rsidR="00C54DC0">
        <w:rPr>
          <w:rFonts w:ascii="Times New Roman" w:hAnsi="Times New Roman" w:cs="Times New Roman"/>
          <w:b/>
          <w:sz w:val="24"/>
          <w:szCs w:val="24"/>
        </w:rPr>
        <w:t>т</w:t>
      </w:r>
      <w:r w:rsidRPr="00FF27DA">
        <w:rPr>
          <w:rFonts w:ascii="Times New Roman" w:hAnsi="Times New Roman" w:cs="Times New Roman"/>
          <w:b/>
          <w:sz w:val="24"/>
          <w:szCs w:val="24"/>
        </w:rPr>
        <w:t xml:space="preserve">розахранването на обекта  ще се осъществи  чрез подземен кабел </w:t>
      </w:r>
      <w:r w:rsidR="00C84FBB">
        <w:rPr>
          <w:rFonts w:ascii="Times New Roman" w:hAnsi="Times New Roman" w:cs="Times New Roman"/>
          <w:b/>
          <w:sz w:val="24"/>
          <w:szCs w:val="24"/>
        </w:rPr>
        <w:t xml:space="preserve">до имота </w:t>
      </w:r>
      <w:r w:rsidRPr="00FF27DA">
        <w:rPr>
          <w:rFonts w:ascii="Times New Roman" w:hAnsi="Times New Roman" w:cs="Times New Roman"/>
          <w:b/>
          <w:sz w:val="24"/>
          <w:szCs w:val="24"/>
        </w:rPr>
        <w:t>от мрежа</w:t>
      </w:r>
      <w:r w:rsidR="00C54DC0">
        <w:rPr>
          <w:rFonts w:ascii="Times New Roman" w:hAnsi="Times New Roman" w:cs="Times New Roman"/>
          <w:b/>
          <w:sz w:val="24"/>
          <w:szCs w:val="24"/>
        </w:rPr>
        <w:t xml:space="preserve"> ниско напрежение на</w:t>
      </w:r>
      <w:r w:rsidR="00C8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7DA">
        <w:rPr>
          <w:rFonts w:ascii="Times New Roman" w:hAnsi="Times New Roman" w:cs="Times New Roman"/>
          <w:b/>
          <w:sz w:val="24"/>
          <w:szCs w:val="24"/>
        </w:rPr>
        <w:t>съществуващ ел.стълб</w:t>
      </w:r>
      <w:r w:rsidR="00C84FBB">
        <w:rPr>
          <w:rFonts w:ascii="Times New Roman" w:hAnsi="Times New Roman" w:cs="Times New Roman"/>
          <w:b/>
          <w:sz w:val="24"/>
          <w:szCs w:val="24"/>
        </w:rPr>
        <w:t xml:space="preserve"> №13</w:t>
      </w:r>
      <w:r w:rsidRPr="00FF27DA">
        <w:rPr>
          <w:rFonts w:ascii="Times New Roman" w:hAnsi="Times New Roman" w:cs="Times New Roman"/>
          <w:b/>
          <w:sz w:val="24"/>
          <w:szCs w:val="24"/>
        </w:rPr>
        <w:t>, съгл.Становище за възможностите за присъединяване,издадено от ЕВН.</w:t>
      </w:r>
    </w:p>
    <w:p w:rsidR="00FF27DA" w:rsidRPr="00FF27DA" w:rsidRDefault="00FF27DA" w:rsidP="00FF27DA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DA">
        <w:rPr>
          <w:rFonts w:ascii="Times New Roman" w:hAnsi="Times New Roman" w:cs="Times New Roman"/>
          <w:b/>
          <w:sz w:val="24"/>
          <w:szCs w:val="24"/>
        </w:rPr>
        <w:t xml:space="preserve">          През имота не преминават съоръжения, които да налагат ограничения за ползването му.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84FBB" w:rsidRPr="00C84FBB" w:rsidRDefault="00C84FBB" w:rsidP="00C84FBB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Поземлен имот </w:t>
      </w:r>
      <w:r w:rsidR="00C54DC0">
        <w:rPr>
          <w:rFonts w:ascii="Times New Roman" w:hAnsi="Times New Roman" w:cs="Times New Roman"/>
          <w:b/>
          <w:sz w:val="24"/>
          <w:szCs w:val="24"/>
        </w:rPr>
        <w:t>16955.</w:t>
      </w:r>
      <w:r>
        <w:rPr>
          <w:rFonts w:ascii="Times New Roman" w:hAnsi="Times New Roman" w:cs="Times New Roman"/>
          <w:b/>
          <w:sz w:val="24"/>
          <w:szCs w:val="24"/>
        </w:rPr>
        <w:t>36.95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 се намира в територия със земеделски имоти,като в контактната зона около него всички имоти са с </w:t>
      </w:r>
      <w:r>
        <w:rPr>
          <w:rFonts w:ascii="Times New Roman" w:hAnsi="Times New Roman" w:cs="Times New Roman"/>
          <w:b/>
          <w:sz w:val="24"/>
          <w:szCs w:val="24"/>
        </w:rPr>
        <w:t>Н.Т.П ниви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, в землището на с. Горнослав, </w:t>
      </w:r>
      <w:r>
        <w:rPr>
          <w:rFonts w:ascii="Times New Roman" w:hAnsi="Times New Roman" w:cs="Times New Roman"/>
          <w:b/>
          <w:sz w:val="24"/>
          <w:szCs w:val="24"/>
        </w:rPr>
        <w:t>местност „Дъбите“,</w:t>
      </w:r>
      <w:r w:rsidRPr="00C84FBB">
        <w:rPr>
          <w:rFonts w:ascii="Times New Roman" w:hAnsi="Times New Roman" w:cs="Times New Roman"/>
          <w:b/>
          <w:sz w:val="24"/>
          <w:szCs w:val="24"/>
        </w:rPr>
        <w:t>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Асеновград</w:t>
      </w:r>
    </w:p>
    <w:p w:rsidR="00C84FBB" w:rsidRPr="00C84FBB" w:rsidRDefault="00C84FBB" w:rsidP="00C84FBB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BB">
        <w:rPr>
          <w:rFonts w:ascii="Times New Roman" w:hAnsi="Times New Roman" w:cs="Times New Roman"/>
          <w:b/>
          <w:sz w:val="24"/>
          <w:szCs w:val="24"/>
        </w:rPr>
        <w:t>Имот</w:t>
      </w:r>
      <w:r>
        <w:rPr>
          <w:rFonts w:ascii="Times New Roman" w:hAnsi="Times New Roman" w:cs="Times New Roman"/>
          <w:b/>
          <w:sz w:val="24"/>
          <w:szCs w:val="24"/>
        </w:rPr>
        <w:t>а се намира на отстояние около 200 м. източно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 от регулацията на с.Горнослав. Реализацията на инвестиционното предложение няма да повлияе негативно върху ползвателите на съседните и</w:t>
      </w:r>
      <w:r>
        <w:rPr>
          <w:rFonts w:ascii="Times New Roman" w:hAnsi="Times New Roman" w:cs="Times New Roman"/>
          <w:b/>
          <w:sz w:val="24"/>
          <w:szCs w:val="24"/>
        </w:rPr>
        <w:t>моти. Намеренията на Вълзожителя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 не противоречат на други утвърдени устройствени п</w:t>
      </w:r>
      <w:r>
        <w:rPr>
          <w:rFonts w:ascii="Times New Roman" w:hAnsi="Times New Roman" w:cs="Times New Roman"/>
          <w:b/>
          <w:sz w:val="24"/>
          <w:szCs w:val="24"/>
        </w:rPr>
        <w:t>роекти или програми.</w:t>
      </w:r>
      <w:r w:rsidR="009F59CC">
        <w:rPr>
          <w:rFonts w:ascii="Times New Roman" w:hAnsi="Times New Roman" w:cs="Times New Roman"/>
          <w:b/>
          <w:sz w:val="24"/>
          <w:szCs w:val="24"/>
        </w:rPr>
        <w:t>ПИ 16955.</w:t>
      </w:r>
      <w:r>
        <w:rPr>
          <w:rFonts w:ascii="Times New Roman" w:hAnsi="Times New Roman" w:cs="Times New Roman"/>
          <w:b/>
          <w:sz w:val="24"/>
          <w:szCs w:val="24"/>
        </w:rPr>
        <w:t>36.95 граничи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север</w:t>
      </w:r>
      <w:r w:rsidR="009F59CC">
        <w:rPr>
          <w:rFonts w:ascii="Times New Roman" w:hAnsi="Times New Roman" w:cs="Times New Roman"/>
          <w:b/>
          <w:sz w:val="24"/>
          <w:szCs w:val="24"/>
        </w:rPr>
        <w:t xml:space="preserve"> със селскостопански път 16955.</w:t>
      </w:r>
      <w:r>
        <w:rPr>
          <w:rFonts w:ascii="Times New Roman" w:hAnsi="Times New Roman" w:cs="Times New Roman"/>
          <w:b/>
          <w:sz w:val="24"/>
          <w:szCs w:val="24"/>
        </w:rPr>
        <w:t xml:space="preserve">36.140 ,на Община „Асеновград“,от </w:t>
      </w:r>
      <w:r w:rsidR="009F59CC">
        <w:rPr>
          <w:rFonts w:ascii="Times New Roman" w:hAnsi="Times New Roman" w:cs="Times New Roman"/>
          <w:b/>
          <w:sz w:val="24"/>
          <w:szCs w:val="24"/>
        </w:rPr>
        <w:t>юго</w:t>
      </w:r>
      <w:r>
        <w:rPr>
          <w:rFonts w:ascii="Times New Roman" w:hAnsi="Times New Roman" w:cs="Times New Roman"/>
          <w:b/>
          <w:sz w:val="24"/>
          <w:szCs w:val="24"/>
        </w:rPr>
        <w:t>изток с ПИ 16955.36.96</w:t>
      </w:r>
      <w:r w:rsidRPr="00C84FBB">
        <w:rPr>
          <w:rFonts w:ascii="Times New Roman" w:hAnsi="Times New Roman" w:cs="Times New Roman"/>
          <w:b/>
          <w:sz w:val="24"/>
          <w:szCs w:val="24"/>
        </w:rPr>
        <w:t xml:space="preserve">,частен имот с Н.Т.П. </w:t>
      </w:r>
      <w:r>
        <w:rPr>
          <w:rFonts w:ascii="Times New Roman" w:hAnsi="Times New Roman" w:cs="Times New Roman"/>
          <w:b/>
          <w:sz w:val="24"/>
          <w:szCs w:val="24"/>
        </w:rPr>
        <w:t>нива,от юг</w:t>
      </w:r>
      <w:r w:rsidR="009F59CC">
        <w:rPr>
          <w:rFonts w:ascii="Times New Roman" w:hAnsi="Times New Roman" w:cs="Times New Roman"/>
          <w:b/>
          <w:sz w:val="24"/>
          <w:szCs w:val="24"/>
        </w:rPr>
        <w:t>озапад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ПИ 16955.36.94</w:t>
      </w:r>
      <w:r w:rsidRPr="00C84FBB">
        <w:rPr>
          <w:rFonts w:ascii="Times New Roman" w:hAnsi="Times New Roman" w:cs="Times New Roman"/>
          <w:b/>
          <w:sz w:val="24"/>
          <w:szCs w:val="24"/>
        </w:rPr>
        <w:t>,частен имот с Н.Т.П. нива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от запад с</w:t>
      </w:r>
      <w:r w:rsidRPr="00C84FBB">
        <w:t xml:space="preserve"> </w:t>
      </w:r>
      <w:r w:rsidR="009F59CC">
        <w:rPr>
          <w:rFonts w:ascii="Times New Roman" w:hAnsi="Times New Roman" w:cs="Times New Roman"/>
          <w:b/>
          <w:sz w:val="24"/>
          <w:szCs w:val="24"/>
        </w:rPr>
        <w:t>ПИ 16955.36.92</w:t>
      </w:r>
      <w:r w:rsidRPr="00C84FBB">
        <w:rPr>
          <w:rFonts w:ascii="Times New Roman" w:hAnsi="Times New Roman" w:cs="Times New Roman"/>
          <w:b/>
          <w:sz w:val="24"/>
          <w:szCs w:val="24"/>
        </w:rPr>
        <w:t>,частен имот с Н.Т.П. нива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C54DC0" w:rsidRPr="00C54DC0" w:rsidRDefault="00C54DC0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Бъдещия УПИ 36.95, жил.стр. ще е с площ 1 073</w:t>
      </w:r>
      <w:r w:rsidRPr="00C54DC0">
        <w:rPr>
          <w:rFonts w:ascii="Times New Roman" w:hAnsi="Times New Roman" w:cs="Times New Roman"/>
          <w:b/>
          <w:sz w:val="24"/>
          <w:szCs w:val="24"/>
        </w:rPr>
        <w:t>кв.м. Теренът е достатъчен за извършване на предвидените дейности и не се налага да бъдат използвани допълнителни площи извън наличната. Инвестиционното намерение не засяга обекти на културно наследство. Не се налага промяна на съществуваща инфраструктура.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C54DC0" w:rsidRPr="00C54DC0" w:rsidRDefault="00C54DC0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Основни суровини и строителни материали, които ще се употребяват при изграждане на обекта са: инертни материали /пясък, баластра, чакъл, трошен камък/;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C54DC0" w:rsidRPr="00C54DC0" w:rsidRDefault="00C54DC0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Няма такива и не се очаква отделянето на такива вещества при експлоатацията на обекта.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:rsidR="00C54DC0" w:rsidRPr="00C54DC0" w:rsidRDefault="00C54DC0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lastRenderedPageBreak/>
        <w:t>При експлоатацията на обекта,предмет на инвестиционното предложение няма източници на вредности, представляващи опасност за чистотата на въздуха. Няма емисии на вредни вещества във въздуха. Негативно въздействие върху атмосферата при изграждането и експлоатацията на обекта не се очаква, възможността за замърсяване на въздуха е сведена до минимум. Обектите са разположени извън границите на населеното място. В близост до обектите няма предприятия и промишлени дейности излъчващи вредни  емисии, оказващи трайно влияние върху състоянието на атмосферния въздух.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:rsidR="00C54DC0" w:rsidRPr="00C54DC0" w:rsidRDefault="00C54DC0" w:rsidP="00C5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От бъдещите обекти се очаква образуването на:</w:t>
      </w:r>
    </w:p>
    <w:p w:rsidR="00C54DC0" w:rsidRPr="00C54DC0" w:rsidRDefault="00C54DC0" w:rsidP="00C5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 xml:space="preserve">Строителни отпадъци – строителните отпадъци образувани по време на строителството ще се събират на определена за целта площадка в рамките на имотите, след което ще се извозват до регламентирано депо за строителни отпадъци. Земните маси от изкопните работи по време на строителството ще се съхраняват в рамките на имотите и ще се използват за обратен насип и реализиране на вертикалната планировка в имотите.  </w:t>
      </w:r>
    </w:p>
    <w:p w:rsidR="00C54DC0" w:rsidRPr="00C54DC0" w:rsidRDefault="00C54DC0" w:rsidP="00C5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ab/>
        <w:t xml:space="preserve">Битови отпадъци от експлоатацията на обектите ще се събират в контейнери за сметосъбиране след въвеждане в експлоатация на обектите и получаване на административен адрес. Отпадъците ще се извозват от фирмата по чистота за населеното място. </w:t>
      </w:r>
    </w:p>
    <w:p w:rsidR="00C54DC0" w:rsidRPr="00C54DC0" w:rsidRDefault="00C54DC0" w:rsidP="00C5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ab/>
        <w:t>Битово-фекалните отпадни води – ще се заустват в безоточна /водоплътна яма/. Периодично ще се почистват с цистерни и ще се извозват до най-близката ПСОВ.</w:t>
      </w:r>
    </w:p>
    <w:p w:rsidR="00C54DC0" w:rsidRPr="00C54DC0" w:rsidRDefault="00C54DC0" w:rsidP="00C5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ab/>
        <w:t>Не се очаква генериране на друг вид отпадъци.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C54DC0" w:rsidRPr="00C54DC0" w:rsidRDefault="00C54DC0" w:rsidP="00C54DC0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Очаквани количества и тип отпадъчни води / само битови /промишлени – не/.</w:t>
      </w:r>
    </w:p>
    <w:p w:rsidR="00C54DC0" w:rsidRPr="00C54DC0" w:rsidRDefault="00C54DC0" w:rsidP="00C54DC0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Битово-фекални отпадни води – ще се заустват в безоточна /водоплътна яма/. Периодично ще се почистват с цистерни и ще се извозват до най-близката ПСОВ.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C54DC0" w:rsidRPr="00C54DC0" w:rsidRDefault="00C54DC0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Не се очакват опасни химични вещества, които да бъдат налични на площадките.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A0A38" w:rsidRPr="007A0A38" w:rsidRDefault="000342D1" w:rsidP="00C54DC0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317A2">
        <w:rPr>
          <w:rFonts w:ascii="Times New Roman" w:hAnsi="Times New Roman" w:cs="Times New Roman"/>
          <w:sz w:val="24"/>
          <w:szCs w:val="24"/>
        </w:rPr>
        <w:t>23.01.2024</w:t>
      </w:r>
      <w:r w:rsidR="00C54DC0">
        <w:rPr>
          <w:rFonts w:ascii="Times New Roman" w:hAnsi="Times New Roman" w:cs="Times New Roman"/>
          <w:sz w:val="24"/>
          <w:szCs w:val="24"/>
        </w:rPr>
        <w:t>г.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4DC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C00F9"/>
    <w:rsid w:val="000C2A9F"/>
    <w:rsid w:val="0010223B"/>
    <w:rsid w:val="001D1EB6"/>
    <w:rsid w:val="001D7BE4"/>
    <w:rsid w:val="0025215A"/>
    <w:rsid w:val="00282620"/>
    <w:rsid w:val="002A13A3"/>
    <w:rsid w:val="003C603B"/>
    <w:rsid w:val="003F4314"/>
    <w:rsid w:val="004243A0"/>
    <w:rsid w:val="004D1336"/>
    <w:rsid w:val="006E6D4C"/>
    <w:rsid w:val="00754AF2"/>
    <w:rsid w:val="00776891"/>
    <w:rsid w:val="007A0A38"/>
    <w:rsid w:val="007C259D"/>
    <w:rsid w:val="007D5536"/>
    <w:rsid w:val="008557BA"/>
    <w:rsid w:val="008B4D08"/>
    <w:rsid w:val="00987336"/>
    <w:rsid w:val="009F59CC"/>
    <w:rsid w:val="00C54DC0"/>
    <w:rsid w:val="00C84FBB"/>
    <w:rsid w:val="00D03D5A"/>
    <w:rsid w:val="00D317A2"/>
    <w:rsid w:val="00D9796D"/>
    <w:rsid w:val="00E36337"/>
    <w:rsid w:val="00E44D6B"/>
    <w:rsid w:val="00E543BA"/>
    <w:rsid w:val="00EB417F"/>
    <w:rsid w:val="00F5092F"/>
    <w:rsid w:val="00F61B7E"/>
    <w:rsid w:val="00FD6DF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EB99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Anastasia Staneva</cp:lastModifiedBy>
  <cp:revision>4</cp:revision>
  <cp:lastPrinted>2024-02-02T12:31:00Z</cp:lastPrinted>
  <dcterms:created xsi:type="dcterms:W3CDTF">2024-02-02T12:33:00Z</dcterms:created>
  <dcterms:modified xsi:type="dcterms:W3CDTF">2024-02-02T12:34:00Z</dcterms:modified>
</cp:coreProperties>
</file>