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55" w:rsidRDefault="006D31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Наредбата за условията и реда за извършване на оценка на въздействието върху околната среда (Наредба за ОВОС) </w:t>
      </w:r>
    </w:p>
    <w:p w:rsidR="00DD3D55" w:rsidRDefault="006D31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(Ново - ДВ, бр. 12 от 12.02.2016 г., изм. ДВ, бр. 62 от 2022 г., в сила от 5.08.2022 г.)              </w:t>
      </w:r>
    </w:p>
    <w:p w:rsidR="00DD3D55" w:rsidRDefault="006D31BC">
      <w:r>
        <w:tab/>
      </w:r>
    </w:p>
    <w:p w:rsidR="00DD3D55" w:rsidRDefault="006D31BC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ДО </w:t>
      </w:r>
    </w:p>
    <w:p w:rsidR="00DD3D55" w:rsidRDefault="006D31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ДИРЕКТОРА НА РИОСВ-</w:t>
      </w:r>
    </w:p>
    <w:p w:rsidR="00DD3D55" w:rsidRDefault="006D31BC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ПЛОВДИВ</w:t>
      </w:r>
    </w:p>
    <w:p w:rsidR="00DD3D55" w:rsidRDefault="00DD3D55"/>
    <w:p w:rsidR="00DD3D55" w:rsidRDefault="00DD3D55"/>
    <w:p w:rsidR="00DD3D55" w:rsidRDefault="006D31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:rsidR="00DD3D55" w:rsidRDefault="006D31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 инвестиционно предложение</w:t>
      </w:r>
    </w:p>
    <w:p w:rsidR="00DD3D55" w:rsidRDefault="00DD3D55"/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Гюрджеклиев</w:t>
      </w:r>
    </w:p>
    <w:p w:rsidR="00DD3D55" w:rsidRDefault="006D31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(име, адрес и телефон за контакт)</w:t>
      </w:r>
    </w:p>
    <w:p w:rsidR="00DD3D55" w:rsidRDefault="00DD3D55">
      <w:pPr>
        <w:spacing w:after="0"/>
        <w:jc w:val="center"/>
        <w:rPr>
          <w:rFonts w:ascii="Times New Roman" w:hAnsi="Times New Roman" w:cs="Times New Roman"/>
        </w:rPr>
      </w:pPr>
    </w:p>
    <w:p w:rsidR="006D31BC" w:rsidRDefault="006D31BC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D3D55" w:rsidRDefault="006D31B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УВАЖАЕМИ Г-Н/Г-ЖО ДИРЕКТОР,</w:t>
      </w:r>
    </w:p>
    <w:p w:rsidR="00DD3D55" w:rsidRDefault="006D31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следното инвестиционно предложение: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Изготвяне на проект ПУП-ПРЗ за промяна предназначението на земеделска земя за жилищно строителство на ПИ с идентификатор 56784.245.12, разделянето му на шест УПИ, обслужваща ги улица и разширение на път. 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 инвестиционното предложение:</w:t>
      </w:r>
    </w:p>
    <w:p w:rsidR="00DD3D55" w:rsidRDefault="006D31BC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>
        <w:rPr>
          <w:rFonts w:ascii="Times New Roman" w:hAnsi="Times New Roman" w:cs="Times New Roman"/>
          <w:sz w:val="24"/>
          <w:szCs w:val="24"/>
        </w:rPr>
        <w:t>езюме на предложението: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</w:t>
      </w:r>
      <w:r>
        <w:rPr>
          <w:rFonts w:ascii="Times New Roman" w:hAnsi="Times New Roman" w:cs="Times New Roman"/>
          <w:sz w:val="24"/>
          <w:szCs w:val="24"/>
        </w:rPr>
        <w:t>на околната среда (ЗООС)</w:t>
      </w:r>
    </w:p>
    <w:p w:rsidR="00DD3D55" w:rsidRDefault="006D31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Инвестиционното ми намерение е за промяна предназначението на земеделска земя за жилищно строителство на горецитирания ПИ, разделянето му на шест УПИ, обслужваща ги улица и разширение на път. Изграждане във всеки УПИ на една еднофа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милна жилищна сграда на един и два етажа, всяка от които със разгъната застроена площ около 150-300 кв.м. </w:t>
      </w:r>
    </w:p>
    <w:p w:rsidR="00DD3D55" w:rsidRDefault="00DD3D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D55" w:rsidRDefault="006D31B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</w:t>
      </w:r>
      <w:r>
        <w:rPr>
          <w:rFonts w:ascii="Times New Roman" w:hAnsi="Times New Roman" w:cs="Times New Roman"/>
          <w:sz w:val="24"/>
          <w:szCs w:val="24"/>
        </w:rPr>
        <w:t xml:space="preserve">ности, в т.ч. ползване на съществуваща или необходимост от </w:t>
      </w:r>
      <w:r>
        <w:rPr>
          <w:rFonts w:ascii="Times New Roman" w:hAnsi="Times New Roman" w:cs="Times New Roman"/>
          <w:sz w:val="24"/>
          <w:szCs w:val="24"/>
        </w:rPr>
        <w:lastRenderedPageBreak/>
        <w:t>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DD3D55" w:rsidRDefault="006D31B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Инвестиционното 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намерение е за изграждане на 6 броя еднофамилни жилищни сгради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един и два етажа, всяка от които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разгъната застроена площ 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50-300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кв.м.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Предполагаемата дълбочина на изкопните работи ще бъде около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метра, като те ще се извършат със земекопната техника без да се налага ползването на взривни материали. Достъпът до имота е през новопроектиран път от запад. Във връзка с обслужването на бъдещето застрояване се предвижда изграждане на водопровод и електро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провод. Общата засегната площ е на целия имот- 4923 кв.м. Теренът е достатъчен за извършване на предвидените дейности и не се налага да бъдат използвани допълнителни площи, извън наличната площ на имота.</w:t>
      </w:r>
    </w:p>
    <w:p w:rsidR="00DD3D55" w:rsidRDefault="006D31B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Връзка с други съществуващи и одобрени с устройст</w:t>
      </w:r>
      <w:r>
        <w:rPr>
          <w:rFonts w:ascii="Times New Roman" w:hAnsi="Times New Roman" w:cs="Times New Roman"/>
          <w:sz w:val="24"/>
          <w:szCs w:val="24"/>
        </w:rPr>
        <w:t>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</w:t>
      </w:r>
      <w:r>
        <w:rPr>
          <w:rFonts w:ascii="Times New Roman" w:hAnsi="Times New Roman" w:cs="Times New Roman"/>
          <w:sz w:val="24"/>
          <w:szCs w:val="24"/>
        </w:rPr>
        <w:t>да на специален закон: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 xml:space="preserve">С плана за регулация се предвижда 6 бр. урегулирани поземлени имота и обслужващ ги път. Застрояването на новообразуваните УПИ ще е с устройствени показатели за зона Жм1 в </w:t>
      </w:r>
      <w:r>
        <w:rPr>
          <w:rFonts w:ascii="Times New Roman" w:eastAsia="Times New Roman" w:hAnsi="Times New Roman" w:cs="Bookman Old Style"/>
          <w:b/>
          <w:bCs/>
          <w:color w:val="000000"/>
          <w:sz w:val="24"/>
          <w:szCs w:val="24"/>
          <w:lang w:eastAsia="zh-CN"/>
        </w:rPr>
        <w:t>съответствие с ОУП, приет с Решение на ОбС № 521, взето с П-л</w:t>
      </w:r>
      <w:r>
        <w:rPr>
          <w:rFonts w:ascii="Times New Roman" w:eastAsia="Times New Roman" w:hAnsi="Times New Roman" w:cs="Bookman Old Style"/>
          <w:b/>
          <w:bCs/>
          <w:color w:val="000000"/>
          <w:sz w:val="24"/>
          <w:szCs w:val="24"/>
          <w:lang w:eastAsia="zh-CN"/>
        </w:rPr>
        <w:t xml:space="preserve"> № 22/24.11.2022г.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, височина 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м, плътност на застрояване до 60%, Кинт 1.2, озеленяване мин. 40%.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Устройствените показатели са съобразени с близките имоти с променено предназначение.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Местоположение:</w:t>
      </w:r>
    </w:p>
    <w:p w:rsidR="00DD3D55" w:rsidRDefault="006D31B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</w:t>
      </w:r>
      <w:r>
        <w:rPr>
          <w:rFonts w:ascii="Times New Roman" w:hAnsi="Times New Roman" w:cs="Times New Roman"/>
          <w:sz w:val="24"/>
          <w:szCs w:val="24"/>
        </w:rPr>
        <w:t>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</w:t>
      </w:r>
      <w:r>
        <w:rPr>
          <w:rFonts w:ascii="Times New Roman" w:hAnsi="Times New Roman" w:cs="Times New Roman"/>
          <w:sz w:val="24"/>
          <w:szCs w:val="24"/>
        </w:rPr>
        <w:t>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гр. Пловдив, район Западен, местност Прослав, 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</w:rPr>
        <w:t>56784.245.12.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Координати на точките, определящи границите на поземления имот – координатна система ККС 2005</w:t>
      </w:r>
    </w:p>
    <w:p w:rsidR="00DD3D55" w:rsidRDefault="006D31BC">
      <w:pPr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bg-BG"/>
        </w:rPr>
        <w:t>X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bg-BG"/>
        </w:rPr>
        <w:tab/>
        <w:t xml:space="preserve">       Y</w:t>
      </w:r>
    </w:p>
    <w:p w:rsidR="00DD3D55" w:rsidRDefault="006D31BC">
      <w:pPr>
        <w:numPr>
          <w:ilvl w:val="1"/>
          <w:numId w:val="2"/>
        </w:numPr>
        <w:shd w:val="clear" w:color="auto" w:fill="FFFFFF"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4666176.89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  <w:t>431856.36</w:t>
      </w:r>
    </w:p>
    <w:p w:rsidR="00DD3D55" w:rsidRDefault="006D31BC">
      <w:pPr>
        <w:numPr>
          <w:ilvl w:val="1"/>
          <w:numId w:val="2"/>
        </w:numPr>
        <w:shd w:val="clear" w:color="auto" w:fill="FFFFFF"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4666172.86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  <w:t>431955.64</w:t>
      </w:r>
    </w:p>
    <w:p w:rsidR="00DD3D55" w:rsidRDefault="006D31BC">
      <w:pPr>
        <w:numPr>
          <w:ilvl w:val="1"/>
          <w:numId w:val="2"/>
        </w:numPr>
        <w:shd w:val="clear" w:color="auto" w:fill="FFFFFF"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4666168.66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  <w:t>431955.49</w:t>
      </w:r>
    </w:p>
    <w:p w:rsidR="00DD3D55" w:rsidRDefault="006D31BC">
      <w:pPr>
        <w:numPr>
          <w:ilvl w:val="1"/>
          <w:numId w:val="2"/>
        </w:numPr>
        <w:shd w:val="clear" w:color="auto" w:fill="FFFFFF"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4666123.40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  <w:t>431953.58</w:t>
      </w:r>
    </w:p>
    <w:p w:rsidR="00DD3D55" w:rsidRDefault="006D31BC">
      <w:pPr>
        <w:numPr>
          <w:ilvl w:val="1"/>
          <w:numId w:val="2"/>
        </w:numPr>
        <w:shd w:val="clear" w:color="auto" w:fill="FFFFFF"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4666127.43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ab/>
        <w:t>431854.15</w:t>
      </w:r>
    </w:p>
    <w:p w:rsidR="00DD3D55" w:rsidRDefault="00DD3D55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D55" w:rsidRDefault="006D31B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Природни ресурси, </w:t>
      </w:r>
      <w:r>
        <w:rPr>
          <w:rFonts w:ascii="Times New Roman" w:hAnsi="Times New Roman" w:cs="Times New Roman"/>
          <w:sz w:val="24"/>
          <w:szCs w:val="24"/>
        </w:rPr>
        <w:t>предвидени за използване по време на строителството и експлоатацията:</w:t>
      </w:r>
    </w:p>
    <w:p w:rsidR="00DD3D55" w:rsidRDefault="006D31B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водовземане или ползване на повърхностни води и/или </w:t>
      </w:r>
      <w:r>
        <w:rPr>
          <w:rFonts w:ascii="Times New Roman" w:hAnsi="Times New Roman" w:cs="Times New Roman"/>
          <w:sz w:val="24"/>
          <w:szCs w:val="24"/>
        </w:rPr>
        <w:t>подземни води, необходими количества, съществуващи съоръжения или необходимост от изграждане на нови)</w:t>
      </w:r>
    </w:p>
    <w:p w:rsidR="00DD3D55" w:rsidRDefault="006D31B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С реализацията на инвестиционното предложение не се очаква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използването на природни ресурси. За строителството на жилищните сгради ще се използват ст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андартни строителни материали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тухли; бетонови и варови разтвори, пясък, баластра, чакъл, трошен камък, мазилки; дървен материал; метални конструкции и арматурно желязо; PVC, PE-HD и PP тръбопроводи; облицовъчни и изолационни материали. Предвижда се изграж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дане на водопровод и електропровод, които да покрият нуждите на жилищните сгради.  Подземни води няма да се ползват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</w:t>
      </w:r>
      <w:r>
        <w:rPr>
          <w:rFonts w:ascii="Times New Roman" w:hAnsi="Times New Roman" w:cs="Times New Roman"/>
          <w:sz w:val="24"/>
          <w:szCs w:val="24"/>
        </w:rPr>
        <w:t>т с води: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Не се очакват  емисии на вредни вещества във водата.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Очаквани общи емисии на вредни вещества във въздуха по замърсители: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Не се очакват  емисии на вредни вещества във въздуха.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Отпадъци, които се очаква да се генерират и предвиждания </w:t>
      </w:r>
      <w:r>
        <w:rPr>
          <w:rFonts w:ascii="Times New Roman" w:hAnsi="Times New Roman" w:cs="Times New Roman"/>
          <w:sz w:val="24"/>
          <w:szCs w:val="24"/>
        </w:rPr>
        <w:t>за тяхното третиране:</w:t>
      </w:r>
    </w:p>
    <w:p w:rsidR="00DD3D55" w:rsidRDefault="006D31B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Очакваните отпадъци са строителни – по време на строителството и битови. Строителните отпадъци ще се събират и извозват в контейнери на посочено от общинската администрация място, в съответствие с действащата нормативна уредба. Бит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овите отпадъци ще се събират и извозват чрез мрежа за сметосъбиране.</w:t>
      </w:r>
    </w:p>
    <w:p w:rsidR="00DD3D55" w:rsidRDefault="00DD3D5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Отпадъчни води: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</w:t>
      </w:r>
      <w:r>
        <w:rPr>
          <w:rFonts w:ascii="Times New Roman" w:hAnsi="Times New Roman" w:cs="Times New Roman"/>
          <w:sz w:val="24"/>
          <w:szCs w:val="24"/>
        </w:rPr>
        <w:t>ъоръжение и др.), отвеждане и заустване в канализационна система/повърхностен воден обект/водоплътна изгребна яма и др.)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Очаквани са битови отпадъчни води, за които ще се изградят водоплътни изгребни ями в съответствие с техническите и санитарно-хигиенните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 xml:space="preserve">  изисквания. За формиращите се отпадъчни води ще се осигури периодично почистване и извозване до регламентирано място от лица, притежаващи необходимите документи съгласно действащото законодателство.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Опасни химични вещества, които се очаква да бъдат н</w:t>
      </w:r>
      <w:r>
        <w:rPr>
          <w:rFonts w:ascii="Times New Roman" w:hAnsi="Times New Roman" w:cs="Times New Roman"/>
          <w:sz w:val="24"/>
          <w:szCs w:val="24"/>
        </w:rPr>
        <w:t>алични на площадката на предприятието/съоръжението, както и капацитета на съоръженията, в които са очаква те да са налични: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случаите по чл. 99б ЗООС се представя информация за вида и количеството на опасните вещества, които ще са налични в </w:t>
      </w:r>
      <w:r>
        <w:rPr>
          <w:rFonts w:ascii="Times New Roman" w:hAnsi="Times New Roman" w:cs="Times New Roman"/>
          <w:sz w:val="24"/>
          <w:szCs w:val="24"/>
        </w:rPr>
        <w:t>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Не се предвижда съхранение или продажба на опасни химически вещества.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</w:t>
      </w:r>
      <w:r>
        <w:rPr>
          <w:rFonts w:ascii="Times New Roman" w:hAnsi="Times New Roman" w:cs="Times New Roman"/>
          <w:sz w:val="24"/>
          <w:szCs w:val="24"/>
        </w:rPr>
        <w:t xml:space="preserve">действия, които трябва да предприемем, по реда на глава шеста ЗООС. 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 Друга информация (не е задължително за попълване)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бъде допуснато извъ</w:t>
      </w:r>
      <w:r>
        <w:rPr>
          <w:rFonts w:ascii="Times New Roman" w:hAnsi="Times New Roman" w:cs="Times New Roman"/>
          <w:sz w:val="24"/>
          <w:szCs w:val="24"/>
        </w:rPr>
        <w:t>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</w:t>
      </w:r>
      <w:r>
        <w:rPr>
          <w:rFonts w:ascii="Times New Roman" w:hAnsi="Times New Roman" w:cs="Times New Roman"/>
          <w:sz w:val="24"/>
          <w:szCs w:val="24"/>
        </w:rPr>
        <w:t>нования (мотиви):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D3D55" w:rsidRDefault="006D3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D3D55" w:rsidRDefault="00DD3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D55" w:rsidRDefault="006D3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DD3D55" w:rsidRDefault="006D31BC">
      <w:pPr>
        <w:pStyle w:val="ListParagraph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Документи, доказващи обявяване на инвестиционното предложение на интернет страницата на възложителя, ако има такава, и чрез средствата за </w:t>
      </w:r>
      <w:r>
        <w:rPr>
          <w:rFonts w:ascii="Times New Roman" w:hAnsi="Times New Roman" w:cs="Times New Roman"/>
          <w:sz w:val="24"/>
          <w:szCs w:val="24"/>
        </w:rPr>
        <w:lastRenderedPageBreak/>
        <w:t>масово осведо</w:t>
      </w:r>
      <w:r>
        <w:rPr>
          <w:rFonts w:ascii="Times New Roman" w:hAnsi="Times New Roman" w:cs="Times New Roman"/>
          <w:sz w:val="24"/>
          <w:szCs w:val="24"/>
        </w:rPr>
        <w:t>мяване или по друг подходящ начин съгласно изискванията на чл. 95, ал. 1 от ЗООС.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Други документи по преценка на уведомителя: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поясняваща инвестиционното предложение;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картен материал, схема, снимков материал в подходящ мащаб.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Електронен носител – 1 бр. 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 Желая писмото за </w:t>
      </w:r>
      <w:r>
        <w:rPr>
          <w:rFonts w:ascii="Times New Roman" w:hAnsi="Times New Roman" w:cs="Times New Roman"/>
          <w:sz w:val="24"/>
          <w:szCs w:val="24"/>
        </w:rPr>
        <w:t>определяне на необходимите действия да бъде издадено в електронна форма и изпратено на посочения адрес на електронна поща.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получено чрез лицензиран пощенски оператор.</w:t>
      </w:r>
    </w:p>
    <w:p w:rsidR="00DD3D55" w:rsidRDefault="00DD3D55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 xml:space="preserve">    Уведомител:……………………….  </w:t>
      </w:r>
    </w:p>
    <w:p w:rsidR="00DD3D55" w:rsidRDefault="006D31BC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(подпис)</w:t>
      </w:r>
    </w:p>
    <w:p w:rsidR="00DD3D55" w:rsidRDefault="00DD3D55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D3D55">
      <w:pgSz w:w="11906" w:h="16838"/>
      <w:pgMar w:top="1417" w:right="1466" w:bottom="117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40"/>
    <w:multiLevelType w:val="multilevel"/>
    <w:tmpl w:val="23224E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AC2586"/>
    <w:multiLevelType w:val="multilevel"/>
    <w:tmpl w:val="5BB22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8777BF"/>
    <w:multiLevelType w:val="multilevel"/>
    <w:tmpl w:val="342E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55"/>
    <w:rsid w:val="001753BA"/>
    <w:rsid w:val="006D31BC"/>
    <w:rsid w:val="00D573D8"/>
    <w:rsid w:val="00D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8882"/>
  <w15:docId w15:val="{B7CD0620-A58E-4246-A5B7-8F7AE527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7336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dc:description/>
  <cp:lastModifiedBy>Anastasia Staneva</cp:lastModifiedBy>
  <cp:revision>3</cp:revision>
  <dcterms:created xsi:type="dcterms:W3CDTF">2023-06-20T12:20:00Z</dcterms:created>
  <dcterms:modified xsi:type="dcterms:W3CDTF">2023-06-20T12:20:00Z</dcterms:modified>
  <dc:language>bg-BG</dc:language>
</cp:coreProperties>
</file>