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3231A" w:rsidRDefault="00076B82" w:rsidP="00A3231A">
      <w:pPr>
        <w:overflowPunct/>
        <w:ind w:right="-142"/>
        <w:jc w:val="both"/>
        <w:textAlignment w:val="auto"/>
        <w:rPr>
          <w:rFonts w:ascii="Verdana" w:eastAsia="CIDFont+F2" w:hAnsi="Verdana" w:cs="CIDFont+F2"/>
          <w:i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A3231A" w:rsidRPr="00A3231A">
        <w:rPr>
          <w:rFonts w:ascii="Verdana" w:hAnsi="Verdana"/>
          <w:bCs/>
          <w:i/>
          <w:lang w:val="ru-RU"/>
        </w:rPr>
        <w:t>уведомление</w:t>
      </w:r>
      <w:r w:rsidR="00A3231A" w:rsidRPr="00A3231A">
        <w:rPr>
          <w:rFonts w:ascii="Verdana" w:hAnsi="Verdana"/>
          <w:i/>
          <w:lang w:val="ru-RU"/>
        </w:rPr>
        <w:t xml:space="preserve"> с </w:t>
      </w:r>
      <w:proofErr w:type="spellStart"/>
      <w:r w:rsidR="00A3231A" w:rsidRPr="00A3231A">
        <w:rPr>
          <w:rFonts w:ascii="Verdana" w:hAnsi="Verdana"/>
          <w:i/>
          <w:lang w:val="ru-RU"/>
        </w:rPr>
        <w:t>вх</w:t>
      </w:r>
      <w:proofErr w:type="spellEnd"/>
      <w:r w:rsidR="00A3231A" w:rsidRPr="00A3231A">
        <w:rPr>
          <w:rFonts w:ascii="Verdana" w:hAnsi="Verdana"/>
          <w:i/>
          <w:lang w:val="ru-RU"/>
        </w:rPr>
        <w:t xml:space="preserve">. </w:t>
      </w:r>
      <w:r w:rsidR="00A3231A" w:rsidRPr="00A3231A">
        <w:rPr>
          <w:rFonts w:ascii="Verdana" w:hAnsi="Verdana"/>
          <w:i/>
          <w:highlight w:val="white"/>
          <w:shd w:val="clear" w:color="auto" w:fill="FEFEFE"/>
        </w:rPr>
        <w:t>№ ОВОС-</w:t>
      </w:r>
      <w:r w:rsidR="00A3231A" w:rsidRPr="00A3231A">
        <w:rPr>
          <w:rFonts w:ascii="Verdana" w:hAnsi="Verdana"/>
          <w:i/>
          <w:highlight w:val="white"/>
          <w:shd w:val="clear" w:color="auto" w:fill="FEFEFE"/>
          <w:lang w:val="bg-BG"/>
        </w:rPr>
        <w:t>492</w:t>
      </w:r>
      <w:r w:rsidR="00A3231A" w:rsidRPr="00A3231A">
        <w:rPr>
          <w:rFonts w:ascii="Verdana" w:hAnsi="Verdana"/>
          <w:i/>
          <w:highlight w:val="white"/>
          <w:shd w:val="clear" w:color="auto" w:fill="FEFEFE"/>
        </w:rPr>
        <w:t>/</w:t>
      </w:r>
      <w:r w:rsidR="00A3231A" w:rsidRPr="00A3231A">
        <w:rPr>
          <w:rFonts w:ascii="Verdana" w:hAnsi="Verdana"/>
          <w:i/>
          <w:highlight w:val="white"/>
          <w:shd w:val="clear" w:color="auto" w:fill="FEFEFE"/>
          <w:lang w:val="bg-BG"/>
        </w:rPr>
        <w:t>05</w:t>
      </w:r>
      <w:r w:rsidR="00A3231A" w:rsidRPr="00A3231A">
        <w:rPr>
          <w:rFonts w:ascii="Verdana" w:hAnsi="Verdana"/>
          <w:i/>
          <w:highlight w:val="white"/>
          <w:shd w:val="clear" w:color="auto" w:fill="FEFEFE"/>
        </w:rPr>
        <w:t>.</w:t>
      </w:r>
      <w:r w:rsidR="00A3231A" w:rsidRPr="00A3231A">
        <w:rPr>
          <w:rFonts w:ascii="Verdana" w:hAnsi="Verdana"/>
          <w:i/>
          <w:highlight w:val="white"/>
          <w:shd w:val="clear" w:color="auto" w:fill="FEFEFE"/>
          <w:lang w:val="bg-BG"/>
        </w:rPr>
        <w:t>03</w:t>
      </w:r>
      <w:r w:rsidR="00A3231A" w:rsidRPr="00A3231A">
        <w:rPr>
          <w:rFonts w:ascii="Verdana" w:hAnsi="Verdana"/>
          <w:i/>
          <w:highlight w:val="white"/>
          <w:shd w:val="clear" w:color="auto" w:fill="FEFEFE"/>
        </w:rPr>
        <w:t>.20</w:t>
      </w:r>
      <w:r w:rsidR="00A3231A" w:rsidRPr="00A3231A">
        <w:rPr>
          <w:rFonts w:ascii="Verdana" w:hAnsi="Verdana"/>
          <w:i/>
          <w:highlight w:val="white"/>
          <w:shd w:val="clear" w:color="auto" w:fill="FEFEFE"/>
          <w:lang w:val="bg-BG"/>
        </w:rPr>
        <w:t>21</w:t>
      </w:r>
      <w:r w:rsidR="00A3231A" w:rsidRPr="00A3231A">
        <w:rPr>
          <w:rFonts w:ascii="Verdana" w:hAnsi="Verdana"/>
          <w:i/>
          <w:highlight w:val="white"/>
          <w:shd w:val="clear" w:color="auto" w:fill="FEFEFE"/>
        </w:rPr>
        <w:t xml:space="preserve">г. </w:t>
      </w:r>
      <w:r w:rsidR="00A3231A" w:rsidRPr="00A3231A">
        <w:rPr>
          <w:rFonts w:ascii="Verdana" w:hAnsi="Verdana"/>
          <w:i/>
          <w:highlight w:val="white"/>
          <w:shd w:val="clear" w:color="auto" w:fill="FEFEFE"/>
          <w:lang w:val="bg-BG"/>
        </w:rPr>
        <w:t xml:space="preserve">с приложено актуално уведомление за класификация по чл.103, ал.5 от ЗООС </w:t>
      </w:r>
      <w:proofErr w:type="spellStart"/>
      <w:r w:rsidR="00A3231A" w:rsidRPr="00A3231A">
        <w:rPr>
          <w:rFonts w:ascii="Verdana" w:hAnsi="Verdana"/>
          <w:i/>
          <w:highlight w:val="white"/>
          <w:shd w:val="clear" w:color="auto" w:fill="FEFEFE"/>
        </w:rPr>
        <w:t>за</w:t>
      </w:r>
      <w:proofErr w:type="spellEnd"/>
      <w:r w:rsidR="00A3231A" w:rsidRPr="00A3231A">
        <w:rPr>
          <w:rFonts w:ascii="Verdana" w:hAnsi="Verdana"/>
          <w:i/>
          <w:highlight w:val="white"/>
          <w:shd w:val="clear" w:color="auto" w:fill="FEFEFE"/>
        </w:rPr>
        <w:t xml:space="preserve"> </w:t>
      </w:r>
      <w:proofErr w:type="spellStart"/>
      <w:r w:rsidR="00A3231A" w:rsidRPr="00A3231A">
        <w:rPr>
          <w:rFonts w:ascii="Verdana" w:hAnsi="Verdana"/>
          <w:i/>
          <w:highlight w:val="white"/>
          <w:shd w:val="clear" w:color="auto" w:fill="FEFEFE"/>
          <w:lang w:val="ru-RU"/>
        </w:rPr>
        <w:t>инвестиционно</w:t>
      </w:r>
      <w:proofErr w:type="spellEnd"/>
      <w:r w:rsidR="00A3231A" w:rsidRPr="00A3231A">
        <w:rPr>
          <w:rFonts w:ascii="Verdana" w:hAnsi="Verdana"/>
          <w:i/>
          <w:highlight w:val="white"/>
          <w:shd w:val="clear" w:color="auto" w:fill="FEFEFE"/>
          <w:lang w:val="ru-RU"/>
        </w:rPr>
        <w:t xml:space="preserve"> предложение (ИП)</w:t>
      </w:r>
      <w:r w:rsidR="00A3231A" w:rsidRPr="00A3231A">
        <w:rPr>
          <w:rFonts w:ascii="Verdana" w:hAnsi="Verdana"/>
          <w:i/>
          <w:lang w:val="ru-RU"/>
        </w:rPr>
        <w:t>:</w:t>
      </w:r>
      <w:r w:rsidR="00A3231A" w:rsidRPr="00A3231A">
        <w:rPr>
          <w:rFonts w:ascii="Verdana" w:hAnsi="Verdana" w:cs="CIDFont+F4"/>
          <w:i/>
        </w:rPr>
        <w:t xml:space="preserve"> </w:t>
      </w:r>
      <w:r w:rsidR="00A3231A" w:rsidRPr="00A3231A">
        <w:rPr>
          <w:rFonts w:ascii="Verdana" w:hAnsi="Verdana" w:cs="CIDFont+F4"/>
          <w:b/>
          <w:i/>
        </w:rPr>
        <w:t>„</w:t>
      </w:r>
      <w:proofErr w:type="spellStart"/>
      <w:r w:rsidR="00A3231A" w:rsidRPr="00A3231A">
        <w:rPr>
          <w:rFonts w:ascii="Verdana" w:hAnsi="Verdana" w:cs="CIDFont+F4"/>
          <w:b/>
          <w:i/>
        </w:rPr>
        <w:t>Технологично</w:t>
      </w:r>
      <w:proofErr w:type="spellEnd"/>
      <w:r w:rsidR="00A3231A" w:rsidRPr="00A3231A">
        <w:rPr>
          <w:rFonts w:ascii="Verdana" w:hAnsi="Verdana" w:cs="CIDFont+F4"/>
          <w:b/>
          <w:i/>
        </w:rPr>
        <w:t xml:space="preserve"> </w:t>
      </w:r>
      <w:proofErr w:type="spellStart"/>
      <w:r w:rsidR="00A3231A" w:rsidRPr="00A3231A">
        <w:rPr>
          <w:rFonts w:ascii="Verdana" w:hAnsi="Verdana" w:cs="CIDFont+F4"/>
          <w:b/>
          <w:i/>
        </w:rPr>
        <w:t>интегриране</w:t>
      </w:r>
      <w:proofErr w:type="spellEnd"/>
      <w:r w:rsidR="00A3231A" w:rsidRPr="00A3231A">
        <w:rPr>
          <w:rFonts w:ascii="Verdana" w:hAnsi="Verdana" w:cs="CIDFont+F4"/>
          <w:b/>
          <w:i/>
        </w:rPr>
        <w:t xml:space="preserve"> </w:t>
      </w:r>
      <w:proofErr w:type="spellStart"/>
      <w:r w:rsidR="00A3231A" w:rsidRPr="00A3231A">
        <w:rPr>
          <w:rFonts w:ascii="Verdana" w:hAnsi="Verdana" w:cs="CIDFont+F4"/>
          <w:b/>
          <w:i/>
        </w:rPr>
        <w:t>на</w:t>
      </w:r>
      <w:proofErr w:type="spellEnd"/>
      <w:r w:rsidR="00A3231A" w:rsidRPr="00A3231A">
        <w:rPr>
          <w:rFonts w:ascii="Verdana" w:hAnsi="Verdana" w:cs="CIDFont+F4"/>
          <w:b/>
          <w:i/>
        </w:rPr>
        <w:t xml:space="preserve"> КЦМ АД“</w:t>
      </w:r>
      <w:r w:rsidR="00A3231A" w:rsidRPr="00A3231A">
        <w:rPr>
          <w:rFonts w:ascii="Verdana" w:hAnsi="Verdana" w:cs="CIDFont+F4"/>
          <w:i/>
          <w:lang w:val="bg-BG"/>
        </w:rPr>
        <w:t>,</w:t>
      </w:r>
      <w:r w:rsidR="00A3231A" w:rsidRPr="00A3231A">
        <w:rPr>
          <w:rFonts w:ascii="Verdana" w:hAnsi="Verdana" w:cs="CIDFont+F4"/>
          <w:i/>
        </w:rPr>
        <w:t xml:space="preserve"> </w:t>
      </w:r>
      <w:r w:rsidR="00A3231A" w:rsidRPr="00A3231A">
        <w:rPr>
          <w:rFonts w:ascii="Verdana" w:hAnsi="Verdana" w:cs="CIDFont+F4"/>
          <w:i/>
          <w:lang w:val="bg-BG"/>
        </w:rPr>
        <w:t xml:space="preserve">включващо </w:t>
      </w:r>
      <w:proofErr w:type="spellStart"/>
      <w:r w:rsidR="00A3231A" w:rsidRPr="00A3231A">
        <w:rPr>
          <w:rFonts w:ascii="Verdana" w:eastAsia="CIDFont+F2" w:hAnsi="Verdana" w:cs="CIDFont+F2"/>
          <w:i/>
        </w:rPr>
        <w:t>изграждане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на</w:t>
      </w:r>
      <w:proofErr w:type="spellEnd"/>
      <w:r w:rsidR="00A3231A" w:rsidRPr="00A3231A">
        <w:rPr>
          <w:rFonts w:ascii="Verdana" w:eastAsia="CIDFont+F2" w:hAnsi="Verdana" w:cs="CIDFont+F2"/>
          <w:i/>
          <w:lang w:val="bg-BG"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нови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инсталации</w:t>
      </w:r>
      <w:proofErr w:type="spellEnd"/>
      <w:r w:rsidR="00A3231A" w:rsidRPr="00A3231A">
        <w:rPr>
          <w:rFonts w:ascii="Verdana" w:eastAsia="CIDFont+F2" w:hAnsi="Verdana" w:cs="CIDFont+F2"/>
          <w:i/>
        </w:rPr>
        <w:t>: „</w:t>
      </w:r>
      <w:proofErr w:type="spellStart"/>
      <w:r w:rsidR="00A3231A" w:rsidRPr="00A3231A">
        <w:rPr>
          <w:rFonts w:ascii="Verdana" w:eastAsia="CIDFont+F2" w:hAnsi="Verdana" w:cs="CIDFont+F2"/>
          <w:i/>
        </w:rPr>
        <w:t>Инсталация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за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екстракция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на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метали</w:t>
      </w:r>
      <w:proofErr w:type="spellEnd"/>
      <w:r w:rsidR="00A3231A" w:rsidRPr="00A3231A">
        <w:rPr>
          <w:rFonts w:ascii="Verdana" w:eastAsia="CIDFont+F2" w:hAnsi="Verdana" w:cs="CIDFont+F2"/>
          <w:i/>
        </w:rPr>
        <w:t>“ и „</w:t>
      </w:r>
      <w:proofErr w:type="spellStart"/>
      <w:r w:rsidR="00A3231A" w:rsidRPr="00A3231A">
        <w:rPr>
          <w:rFonts w:ascii="Verdana" w:eastAsia="CIDFont+F2" w:hAnsi="Verdana" w:cs="CIDFont+F2"/>
          <w:i/>
        </w:rPr>
        <w:t>Депо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за</w:t>
      </w:r>
      <w:proofErr w:type="spellEnd"/>
      <w:r w:rsidR="00A3231A" w:rsidRPr="00A3231A">
        <w:rPr>
          <w:rFonts w:ascii="Verdana" w:eastAsia="CIDFont+F2" w:hAnsi="Verdana" w:cs="CIDFont+F2"/>
          <w:i/>
          <w:lang w:val="bg-BG"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опасни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отпадъци</w:t>
      </w:r>
      <w:proofErr w:type="spellEnd"/>
      <w:r w:rsidR="00A3231A" w:rsidRPr="00A3231A">
        <w:rPr>
          <w:rFonts w:ascii="Verdana" w:eastAsia="CIDFont+F2" w:hAnsi="Verdana" w:cs="CIDFont+F2"/>
          <w:i/>
        </w:rPr>
        <w:t>“</w:t>
      </w:r>
      <w:r w:rsidR="00A3231A" w:rsidRPr="00A3231A">
        <w:rPr>
          <w:rFonts w:ascii="Verdana" w:eastAsia="CIDFont+F2" w:hAnsi="Verdana" w:cs="CIDFont+F2"/>
          <w:i/>
          <w:lang w:val="bg-BG"/>
        </w:rPr>
        <w:t xml:space="preserve">  </w:t>
      </w:r>
      <w:proofErr w:type="spellStart"/>
      <w:r w:rsidR="00A3231A" w:rsidRPr="00A3231A">
        <w:rPr>
          <w:rFonts w:ascii="Verdana" w:eastAsia="CIDFont+F2" w:hAnsi="Verdana" w:cs="CIDFont+F2"/>
          <w:i/>
        </w:rPr>
        <w:t>на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производствената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площадка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</w:t>
      </w:r>
      <w:proofErr w:type="spellStart"/>
      <w:r w:rsidR="00A3231A" w:rsidRPr="00A3231A">
        <w:rPr>
          <w:rFonts w:ascii="Verdana" w:eastAsia="CIDFont+F2" w:hAnsi="Verdana" w:cs="CIDFont+F2"/>
          <w:i/>
        </w:rPr>
        <w:t>на</w:t>
      </w:r>
      <w:proofErr w:type="spellEnd"/>
      <w:r w:rsidR="00A3231A" w:rsidRPr="00A3231A">
        <w:rPr>
          <w:rFonts w:ascii="Verdana" w:eastAsia="CIDFont+F2" w:hAnsi="Verdana" w:cs="CIDFont+F2"/>
          <w:i/>
        </w:rPr>
        <w:t xml:space="preserve"> КЦМ АД</w:t>
      </w:r>
      <w:r w:rsidR="00A3231A" w:rsidRPr="00A3231A">
        <w:rPr>
          <w:rFonts w:ascii="Verdana" w:eastAsia="CIDFont+F2" w:hAnsi="Verdana" w:cs="CIDFont+F2"/>
          <w:i/>
          <w:lang w:val="bg-BG"/>
        </w:rPr>
        <w:t xml:space="preserve">, в </w:t>
      </w:r>
      <w:r w:rsidR="00A3231A" w:rsidRPr="00A3231A">
        <w:rPr>
          <w:rFonts w:ascii="Verdana" w:hAnsi="Verdana" w:cs="CIDFont+F4"/>
          <w:i/>
        </w:rPr>
        <w:t>ПИ 40467.1.764</w:t>
      </w:r>
      <w:r w:rsidR="00A3231A" w:rsidRPr="00A3231A">
        <w:rPr>
          <w:rFonts w:ascii="Verdana" w:hAnsi="Verdana" w:cs="CIDFont+F4"/>
          <w:i/>
          <w:lang w:val="bg-BG"/>
        </w:rPr>
        <w:t xml:space="preserve"> (</w:t>
      </w:r>
      <w:r w:rsidR="00A3231A" w:rsidRPr="00A3231A">
        <w:rPr>
          <w:rFonts w:ascii="Verdana" w:hAnsi="Verdana" w:cs="CIDFont+F4"/>
          <w:i/>
        </w:rPr>
        <w:t>УПИ</w:t>
      </w:r>
      <w:r w:rsidR="00A3231A" w:rsidRPr="00A3231A">
        <w:rPr>
          <w:rFonts w:ascii="Verdana" w:hAnsi="Verdana" w:cs="CIDFont+F4"/>
          <w:i/>
          <w:lang w:val="bg-BG"/>
        </w:rPr>
        <w:t xml:space="preserve"> </w:t>
      </w:r>
      <w:r w:rsidR="00A3231A" w:rsidRPr="00A3231A">
        <w:rPr>
          <w:rFonts w:ascii="Verdana" w:hAnsi="Verdana" w:cs="CIDFont+F4"/>
          <w:i/>
        </w:rPr>
        <w:t>ІІ–1.764</w:t>
      </w:r>
      <w:r w:rsidR="00A3231A" w:rsidRPr="00A3231A">
        <w:rPr>
          <w:rFonts w:ascii="Verdana" w:hAnsi="Verdana" w:cs="CIDFont+F4"/>
          <w:i/>
          <w:lang w:val="bg-BG"/>
        </w:rPr>
        <w:t>)</w:t>
      </w:r>
      <w:r w:rsidR="00A3231A" w:rsidRPr="00A3231A">
        <w:rPr>
          <w:rFonts w:ascii="Verdana" w:eastAsia="CIDFont+F2" w:hAnsi="Verdana" w:cs="CIDFont+F2"/>
          <w:i/>
        </w:rPr>
        <w:t>,</w:t>
      </w:r>
      <w:r w:rsidR="00A3231A" w:rsidRPr="00A3231A">
        <w:rPr>
          <w:rFonts w:ascii="Verdana" w:eastAsia="CIDFont+F2" w:hAnsi="Verdana" w:cs="CIDFont+F2"/>
          <w:i/>
          <w:lang w:val="bg-BG"/>
        </w:rPr>
        <w:t xml:space="preserve"> </w:t>
      </w:r>
      <w:r w:rsidR="00A3231A" w:rsidRPr="00A3231A">
        <w:rPr>
          <w:rFonts w:ascii="Verdana" w:hAnsi="Verdana" w:cs="CIDFont+F4"/>
          <w:i/>
        </w:rPr>
        <w:t>ПИ 40467.1.765</w:t>
      </w:r>
      <w:r w:rsidR="00A3231A" w:rsidRPr="00A3231A">
        <w:rPr>
          <w:rFonts w:ascii="Verdana" w:hAnsi="Verdana" w:cs="CIDFont+F4"/>
          <w:i/>
          <w:lang w:val="bg-BG"/>
        </w:rPr>
        <w:t xml:space="preserve"> (</w:t>
      </w:r>
      <w:r w:rsidR="00A3231A" w:rsidRPr="00A3231A">
        <w:rPr>
          <w:rFonts w:ascii="Verdana" w:hAnsi="Verdana" w:cs="CIDFont+F4"/>
          <w:i/>
        </w:rPr>
        <w:t>УПИ</w:t>
      </w:r>
      <w:r w:rsidR="00A3231A" w:rsidRPr="00A3231A">
        <w:rPr>
          <w:rFonts w:ascii="Verdana" w:hAnsi="Verdana" w:cs="CIDFont+F4"/>
          <w:i/>
          <w:lang w:val="bg-BG"/>
        </w:rPr>
        <w:t xml:space="preserve"> </w:t>
      </w:r>
      <w:r w:rsidR="00A3231A" w:rsidRPr="00A3231A">
        <w:rPr>
          <w:rFonts w:ascii="Verdana" w:hAnsi="Verdana" w:cs="CIDFont+F4"/>
          <w:i/>
        </w:rPr>
        <w:t>ІІІ–1.765</w:t>
      </w:r>
      <w:r w:rsidR="00A3231A" w:rsidRPr="00A3231A">
        <w:rPr>
          <w:rFonts w:ascii="Verdana" w:hAnsi="Verdana" w:cs="CIDFont+F4"/>
          <w:i/>
          <w:lang w:val="bg-BG"/>
        </w:rPr>
        <w:t xml:space="preserve">) и </w:t>
      </w:r>
      <w:r w:rsidR="00A3231A" w:rsidRPr="00A3231A">
        <w:rPr>
          <w:rFonts w:ascii="Verdana" w:hAnsi="Verdana" w:cs="CIDFont+F4"/>
          <w:i/>
        </w:rPr>
        <w:t>ПИ 40467.1.772</w:t>
      </w:r>
      <w:r w:rsidR="00A3231A" w:rsidRPr="00A3231A">
        <w:rPr>
          <w:rFonts w:ascii="Verdana" w:hAnsi="Verdana" w:cs="CIDFont+F4"/>
          <w:i/>
          <w:lang w:val="bg-BG"/>
        </w:rPr>
        <w:t xml:space="preserve"> (</w:t>
      </w:r>
      <w:r w:rsidR="00A3231A" w:rsidRPr="00A3231A">
        <w:rPr>
          <w:rFonts w:ascii="Verdana" w:hAnsi="Verdana" w:cs="CIDFont+F4"/>
          <w:i/>
        </w:rPr>
        <w:t>УПИ І–1.772</w:t>
      </w:r>
      <w:r w:rsidR="00A3231A" w:rsidRPr="00A3231A">
        <w:rPr>
          <w:rFonts w:ascii="Verdana" w:hAnsi="Verdana" w:cs="CIDFont+F4"/>
          <w:i/>
          <w:lang w:val="bg-BG"/>
        </w:rPr>
        <w:t>)</w:t>
      </w:r>
      <w:r w:rsidR="00A3231A" w:rsidRPr="00A3231A">
        <w:rPr>
          <w:rFonts w:ascii="Verdana" w:hAnsi="Verdana"/>
          <w:i/>
          <w:lang w:val="bg-BG"/>
        </w:rPr>
        <w:t xml:space="preserve">, </w:t>
      </w:r>
      <w:proofErr w:type="spellStart"/>
      <w:r w:rsidR="00A3231A" w:rsidRPr="00A3231A">
        <w:rPr>
          <w:rFonts w:ascii="Verdana" w:hAnsi="Verdana"/>
          <w:i/>
          <w:lang w:val="bg-BG"/>
        </w:rPr>
        <w:t>гр.Куклен</w:t>
      </w:r>
      <w:proofErr w:type="spellEnd"/>
      <w:r w:rsidR="00A3231A" w:rsidRPr="00A3231A">
        <w:rPr>
          <w:rFonts w:ascii="Verdana" w:hAnsi="Verdana"/>
          <w:i/>
          <w:lang w:val="bg-BG"/>
        </w:rPr>
        <w:t>, община Куклен,</w:t>
      </w:r>
      <w:r w:rsidR="00A3231A">
        <w:rPr>
          <w:rFonts w:ascii="Verdana" w:hAnsi="Verdana"/>
          <w:i/>
        </w:rPr>
        <w:t xml:space="preserve"> </w:t>
      </w:r>
      <w:proofErr w:type="spellStart"/>
      <w:r w:rsidR="00A3231A">
        <w:rPr>
          <w:rFonts w:ascii="Verdana" w:hAnsi="Verdana"/>
          <w:i/>
        </w:rPr>
        <w:t>област</w:t>
      </w:r>
      <w:proofErr w:type="spellEnd"/>
      <w:r w:rsidR="00A3231A">
        <w:rPr>
          <w:rFonts w:ascii="Verdana" w:hAnsi="Verdana"/>
          <w:i/>
        </w:rPr>
        <w:t xml:space="preserve"> </w:t>
      </w:r>
      <w:proofErr w:type="spellStart"/>
      <w:r w:rsidR="00A3231A">
        <w:rPr>
          <w:rFonts w:ascii="Verdana" w:hAnsi="Verdana"/>
          <w:i/>
        </w:rPr>
        <w:t>Пловдив</w:t>
      </w:r>
      <w:proofErr w:type="spellEnd"/>
      <w:r w:rsidR="00743D75">
        <w:rPr>
          <w:rFonts w:ascii="Verdana" w:hAnsi="Verdana"/>
          <w:i/>
          <w:lang w:val="bg-BG"/>
        </w:rPr>
        <w:t xml:space="preserve">, с възложител </w:t>
      </w:r>
      <w:r w:rsidR="00A3231A" w:rsidRPr="00A3231A">
        <w:rPr>
          <w:rFonts w:ascii="Verdana" w:hAnsi="Verdana"/>
          <w:caps/>
          <w:lang w:eastAsia="bg-BG"/>
        </w:rPr>
        <w:t>КЦМ АД</w:t>
      </w:r>
      <w:r w:rsidR="00743D75">
        <w:rPr>
          <w:rFonts w:ascii="Verdana" w:hAnsi="Verdana"/>
          <w:i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околна среда и водите – Пловдив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A3231A" w:rsidRPr="00A3231A" w:rsidRDefault="00A3231A" w:rsidP="00A3231A">
      <w:pPr>
        <w:pStyle w:val="a8"/>
        <w:ind w:right="-198" w:firstLine="426"/>
        <w:contextualSpacing/>
        <w:jc w:val="both"/>
        <w:rPr>
          <w:rFonts w:ascii="Verdana" w:hAnsi="Verdana"/>
          <w:b/>
          <w:sz w:val="20"/>
          <w:szCs w:val="20"/>
          <w:lang w:eastAsia="en-US"/>
        </w:rPr>
      </w:pPr>
      <w:r w:rsidRPr="00A3231A">
        <w:rPr>
          <w:rFonts w:ascii="Verdana" w:hAnsi="Verdana"/>
          <w:b/>
          <w:sz w:val="20"/>
          <w:szCs w:val="20"/>
          <w:lang w:eastAsia="en-US"/>
        </w:rPr>
        <w:t>1.</w:t>
      </w:r>
      <w:r w:rsidRPr="00A3231A">
        <w:rPr>
          <w:rFonts w:ascii="Verdana" w:hAnsi="Verdana"/>
          <w:b/>
          <w:sz w:val="20"/>
          <w:szCs w:val="20"/>
          <w:lang w:eastAsia="en-US"/>
        </w:rPr>
        <w:tab/>
        <w:t>По отношение на изискванията на глава шеста, раздел трети на ЗООС: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Инвестиционното предложение „Технологично интегриране на КЦМ АД“ обхваща следните проекти: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Проект 1: Нова Рафинерия,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Проект 2: Модернизация на ТУ „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Велц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 и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рециклинг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>“,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Проект 3: Нова Електролиза,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Проект 4: Депо за опасни отпадъци;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Проект 5: Площадки за временно съхранение и обработка на прахообразни материали;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Проект 6: Модернизация на ЦПСОВ;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Проект 7: Инсталация за екстракция на метали, включващо изграждане на изцяло нови инсталации: „Инсталация за екстракция на метали“ и „Депо за опасни отпадъци“.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 xml:space="preserve">Така представеното инвестиционно предложение попада в обхвата на т.4.2.-инсталации за производство на цветни необработени метали от руди, концентрати или отпадъци от метали чрез металургични, химични или електролитни процеси и т.9-инсталации за обезвреждане или оползотворяване на опасни отпадъци чрез изгаряне, химично третиране или депониране по смисъла на Закона за управление на отпадъците на Приложение 1 от Закона за опазване на околната среда /ЗООС/ и на основание чл.92, т.1 от ЗООС подлежи на задължителна процедура по изготвяне на ОВОС. 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 xml:space="preserve">В изпълнение на изискванията на чл. 4а от Наредбата за ОВОС е извършена проверка относно допустимостта на ИП спрямо режимите, определени в действащите Планове за управление на речните басейни (ПУРБ), Планове за управление за риска от наводнения (ПУРН) на територията на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Басейнова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 дирекция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Източнобеломорски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 район (БД ИБР). Съгласно становище с изх. № ПУ-01-324(1)/02.04.2021г., реализирането на ИП е допустимо от гледна точка на ПУРБ и ПУРН на ИБР, Закона за водите и подзаконовите актове към него при спазване на условията в становището на БД ИБР.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Действия по провеждане на процедура по ОВОС, съобразно изискванията на глава трета от Наредбата за ОВОС, в това число: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•</w:t>
      </w:r>
      <w:r w:rsidRPr="00A3231A">
        <w:rPr>
          <w:rFonts w:ascii="Verdana" w:hAnsi="Verdana"/>
          <w:sz w:val="20"/>
          <w:szCs w:val="20"/>
          <w:lang w:eastAsia="en-US"/>
        </w:rPr>
        <w:tab/>
        <w:t>Осигуряване изработването на задание за обхват и съдържание на ОВОС по реда на чл. 10 от Наредбата за ОВОС.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•</w:t>
      </w:r>
      <w:r w:rsidRPr="00A3231A">
        <w:rPr>
          <w:rFonts w:ascii="Verdana" w:hAnsi="Verdana"/>
          <w:sz w:val="20"/>
          <w:szCs w:val="20"/>
          <w:lang w:eastAsia="en-US"/>
        </w:rPr>
        <w:tab/>
        <w:t xml:space="preserve">Провеждане на консултации по заданието с РИОСВ Пловдив, РЗИ Пловдив, БД ИБР Пловдив, ВиК ЕООД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гр.Пловдив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, РД ПБЗН Пловдив и други специализирани ведомства и засегната общественост. 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•</w:t>
      </w:r>
      <w:r w:rsidRPr="00A3231A">
        <w:rPr>
          <w:rFonts w:ascii="Verdana" w:hAnsi="Verdana"/>
          <w:sz w:val="20"/>
          <w:szCs w:val="20"/>
          <w:lang w:eastAsia="en-US"/>
        </w:rPr>
        <w:tab/>
        <w:t>Изготвяне на Доклад за ОВОС от колектив от експерти с ръководител, при спазване изискванията на чл.83 от ЗООС. Докладът се изработва въз основа на заданието за обхват и съдържание на ОВОС, при спазване  изискванията на чл. 96 от ЗООС.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•</w:t>
      </w:r>
      <w:r w:rsidRPr="00A3231A">
        <w:rPr>
          <w:rFonts w:ascii="Verdana" w:hAnsi="Verdana"/>
          <w:sz w:val="20"/>
          <w:szCs w:val="20"/>
          <w:lang w:eastAsia="en-US"/>
        </w:rPr>
        <w:tab/>
        <w:t>Внасяне за оценка на качеството Доклад за ОВОС в един екземпляр на хартиен и на електронен носител (по реда на чл. 13 от Наредбата за ОВОС).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Към Доклада за ОВОС е необходимо писмено да заявите намерението си (ако имате такова) за прилагане на оценка по реда на чл. 99а от ЗООС за инвестиционното предложение (инсталацията).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•</w:t>
      </w:r>
      <w:r w:rsidRPr="00A3231A">
        <w:rPr>
          <w:rFonts w:ascii="Verdana" w:hAnsi="Verdana"/>
          <w:sz w:val="20"/>
          <w:szCs w:val="20"/>
          <w:lang w:eastAsia="en-US"/>
        </w:rPr>
        <w:tab/>
        <w:t xml:space="preserve">След положителна оценка на доклада Възложителят организира обществено обсъждане по реда на чл.97 от ЗООС със  засегнати общини, райони и/или кметства.   Решението по ОВОС се взема от компетентния орган в срок до 45 дни след провеждане на общественото обсъждане. 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•</w:t>
      </w:r>
      <w:r w:rsidRPr="00A3231A">
        <w:rPr>
          <w:rFonts w:ascii="Verdana" w:hAnsi="Verdana"/>
          <w:sz w:val="20"/>
          <w:szCs w:val="20"/>
          <w:lang w:eastAsia="en-US"/>
        </w:rPr>
        <w:tab/>
        <w:t xml:space="preserve">Етапите на процедурата по ОВОС и изискванията, в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т.ч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 изготвяне на документация, задължения  и отговорности на Възложителя, са регламентирани в глава шеста, раздел ІІІ на ЗООС и в Наредбата за ОВОС (ДВ бр.25 от 2003 год., изм. и доп. ДВ бр.67 от 23.08.2019 год.)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A3231A" w:rsidRPr="00A3231A" w:rsidRDefault="00A3231A" w:rsidP="00A3231A">
      <w:pPr>
        <w:pStyle w:val="a8"/>
        <w:ind w:right="-198" w:firstLine="426"/>
        <w:contextualSpacing/>
        <w:jc w:val="both"/>
        <w:rPr>
          <w:rFonts w:ascii="Verdana" w:hAnsi="Verdana"/>
          <w:b/>
          <w:sz w:val="20"/>
          <w:szCs w:val="20"/>
          <w:lang w:eastAsia="en-US"/>
        </w:rPr>
      </w:pPr>
      <w:r w:rsidRPr="00A3231A">
        <w:rPr>
          <w:rFonts w:ascii="Verdana" w:hAnsi="Verdana"/>
          <w:b/>
          <w:sz w:val="20"/>
          <w:szCs w:val="20"/>
          <w:lang w:eastAsia="en-US"/>
        </w:rPr>
        <w:t xml:space="preserve">2. По отношение на изискванията на чл. 31 от Закона за биологичното разнообразие (ЗБР) 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 xml:space="preserve">Поземлени имоти с № 40467.1.764 (УПИ ІІ–1.764), ПИ 40467.1.765 (УПИ ІІІ–1.765) и ПИ 40467.1.772 (УПИ І–1.772),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гр.Куклен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>, община Куклен, област Пловдив, в които се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BG0000194 „Река Чая“ за опазване на природните местообитания и на дивата флора и фауна, приета от МС с Решение №122/02.03.2007 г. (ДВ бр.21/2007 г.), обявена със Заповед № РД-688/25.08.2020 г. на МОСВ.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След преглед на представената информация и на основание чл.39,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● 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BG0000194 „Река Чая“.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 xml:space="preserve">● Поради характера и местоположението на инвестиционното предложение, няма вероятност осъществяването му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●  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 защитената зони и нейните елементи.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A3231A" w:rsidRPr="00A3231A" w:rsidRDefault="00A3231A" w:rsidP="00A3231A">
      <w:pPr>
        <w:pStyle w:val="a8"/>
        <w:ind w:right="-198" w:firstLine="426"/>
        <w:contextualSpacing/>
        <w:jc w:val="both"/>
        <w:rPr>
          <w:rFonts w:ascii="Verdana" w:hAnsi="Verdana"/>
          <w:b/>
          <w:sz w:val="20"/>
          <w:szCs w:val="20"/>
          <w:lang w:eastAsia="en-US"/>
        </w:rPr>
      </w:pPr>
      <w:r w:rsidRPr="00A3231A">
        <w:rPr>
          <w:rFonts w:ascii="Verdana" w:hAnsi="Verdana"/>
          <w:b/>
          <w:sz w:val="20"/>
          <w:szCs w:val="20"/>
          <w:lang w:eastAsia="en-US"/>
        </w:rPr>
        <w:t>3. По отношение на изискванията на глава седма, раздел първи на ЗООС: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 xml:space="preserve">С писмо изх. № УК-1845/30.06.2021г. на ИАОС се потвърждава извършената актуализирана класификация по чл.103, ал.5 от ЗООС, съгласно уведомление за класификация вх. № УК-13937/02.06.2021г. Въз основа на представената информация за броя и максималната вместимост на съоръженията, в които са налични и се очаква да бъдат налични опасни вещества, в т.ч. и отпадъци от Приложение 3 на ЗООС, предприятието запазва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класификцията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 си като “ предприятие с висок рисков потенциал“.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>Във връзка с горното и съгласно чл.99б, ал.2, т.2 от ЗООС, възложителят следва да представи пред РИОСВ-Пловдив, като отделно приложение към доклада за ОВОС по чл.96, ал.1, допълнителна информация и оценка, изготвена съгласно чл.10, ал.2 и ал.3 от Наредбата за предотвратяване на големи аварии с опасни вещества и за ограничаване на последствията от тях (ДВ, бр.5/2016 г.).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A3231A" w:rsidRPr="00A3231A" w:rsidRDefault="00A3231A" w:rsidP="00A3231A">
      <w:pPr>
        <w:pStyle w:val="a8"/>
        <w:ind w:right="-198" w:firstLine="426"/>
        <w:contextualSpacing/>
        <w:jc w:val="both"/>
        <w:rPr>
          <w:rFonts w:ascii="Verdana" w:hAnsi="Verdana"/>
          <w:b/>
          <w:sz w:val="20"/>
          <w:szCs w:val="20"/>
          <w:lang w:eastAsia="en-US"/>
        </w:rPr>
      </w:pPr>
      <w:r w:rsidRPr="00A3231A">
        <w:rPr>
          <w:rFonts w:ascii="Verdana" w:hAnsi="Verdana"/>
          <w:b/>
          <w:sz w:val="20"/>
          <w:szCs w:val="20"/>
          <w:lang w:eastAsia="en-US"/>
        </w:rPr>
        <w:t>4. По отношение на изискванията на глава седма, раздел втори на ЗООС:</w:t>
      </w:r>
    </w:p>
    <w:p w:rsidR="00A3231A" w:rsidRPr="00A3231A" w:rsidRDefault="00A3231A" w:rsidP="00A323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A3231A">
        <w:rPr>
          <w:rFonts w:ascii="Verdana" w:hAnsi="Verdana"/>
          <w:sz w:val="20"/>
          <w:szCs w:val="20"/>
          <w:lang w:eastAsia="en-US"/>
        </w:rPr>
        <w:t xml:space="preserve">След приключване на процедурата по реда на глава шеста на ЗООС операторът КЦМ АД, съгласно чл.123в, т.1 от ЗООС следва да представи в ИАОС,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гр.София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 информация за планирана промяна по Приложение №5 към чл. 16, ал.1 от Наредбата за условията и реда за издаване на комплексни разрешителни (приета с ПМС № 238 от 02.10.2009г.,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обн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. ДВ бр.80/2009г., и </w:t>
      </w:r>
      <w:proofErr w:type="spellStart"/>
      <w:r w:rsidRPr="00A3231A">
        <w:rPr>
          <w:rFonts w:ascii="Verdana" w:hAnsi="Verdana"/>
          <w:sz w:val="20"/>
          <w:szCs w:val="20"/>
          <w:lang w:eastAsia="en-US"/>
        </w:rPr>
        <w:t>посл</w:t>
      </w:r>
      <w:proofErr w:type="spellEnd"/>
      <w:r w:rsidRPr="00A3231A">
        <w:rPr>
          <w:rFonts w:ascii="Verdana" w:hAnsi="Verdana"/>
          <w:sz w:val="20"/>
          <w:szCs w:val="20"/>
          <w:lang w:eastAsia="en-US"/>
        </w:rPr>
        <w:t xml:space="preserve"> изм. и доп.).</w:t>
      </w:r>
    </w:p>
    <w:p w:rsidR="00A3231A" w:rsidRDefault="00A3231A" w:rsidP="00C51F6A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1D3334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A3231A">
        <w:rPr>
          <w:rFonts w:ascii="Verdana" w:hAnsi="Verdana"/>
          <w:sz w:val="20"/>
          <w:szCs w:val="20"/>
        </w:rPr>
        <w:t xml:space="preserve">Куклен, </w:t>
      </w:r>
      <w:r w:rsidR="00A3231A">
        <w:rPr>
          <w:rFonts w:ascii="Verdana" w:hAnsi="Verdana"/>
          <w:sz w:val="20"/>
          <w:szCs w:val="20"/>
          <w:lang w:val="ru-RU"/>
        </w:rPr>
        <w:t>БД ИБР Пловдив и ИАОС София</w:t>
      </w: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A3231A">
        <w:rPr>
          <w:rFonts w:ascii="Verdana" w:hAnsi="Verdana"/>
          <w:sz w:val="20"/>
          <w:szCs w:val="20"/>
        </w:rPr>
        <w:t>06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  <w:bookmarkStart w:id="0" w:name="_GoBack"/>
      <w:bookmarkEnd w:id="0"/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1FA9"/>
    <w:rsid w:val="00A0475B"/>
    <w:rsid w:val="00A07421"/>
    <w:rsid w:val="00A12C68"/>
    <w:rsid w:val="00A3231A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3611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2021-06-30T12:43:00Z</dcterms:created>
  <dcterms:modified xsi:type="dcterms:W3CDTF">2021-07-08T12:45:00Z</dcterms:modified>
</cp:coreProperties>
</file>