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с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. № ОВОС-2299/03.08.2022г. за инвестиционно предложение (ИП): „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Третиране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чрез автоклав и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съхранение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опасни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и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неопасни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болнични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отпадъци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имотът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е част от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производствен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терен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площ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от 750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кв.м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ведно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 200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кв.м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площ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(½ част) от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сграда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№ 501.727.8,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находяща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се в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имот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 № 501.727, УПИ I с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площ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5647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кв.м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., в квартал 601 по ПУП на гр.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Раковски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община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Раковски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>област</w:t>
      </w:r>
      <w:proofErr w:type="spellEnd"/>
      <w:r w:rsidR="00F03F0D" w:rsidRPr="00F03F0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Пловдив</w:t>
      </w:r>
      <w:r w:rsidR="004F2B59" w:rsidRPr="00D42406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E20487" w:rsidRPr="00E20487">
        <w:rPr>
          <w:rFonts w:ascii="Verdana" w:hAnsi="Verdana"/>
          <w:lang w:val="bg-BG"/>
        </w:rPr>
        <w:t xml:space="preserve">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F03F0D" w:rsidRPr="00F03F0D">
        <w:rPr>
          <w:rFonts w:ascii="Verdana" w:hAnsi="Verdana"/>
          <w:lang w:val="bg-BG"/>
        </w:rPr>
        <w:t>„НАТУРА 2000“ – BG0000291 „Гора Шишманци“.</w:t>
      </w:r>
    </w:p>
    <w:p w:rsidR="00E20487" w:rsidRDefault="00E20487" w:rsidP="00571C90">
      <w:pPr>
        <w:rPr>
          <w:rFonts w:ascii="Verdana" w:hAnsi="Verdana"/>
          <w:lang w:val="bg-BG"/>
        </w:rPr>
      </w:pP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A484A">
        <w:rPr>
          <w:rFonts w:ascii="Verdana" w:hAnsi="Verdana" w:cs="Arial"/>
          <w:color w:val="000000"/>
          <w:lang w:val="bg-BG"/>
        </w:rPr>
        <w:t>Раковски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A484A">
        <w:rPr>
          <w:rFonts w:ascii="Verdana" w:hAnsi="Verdana"/>
          <w:lang w:val="bg-BG"/>
        </w:rPr>
        <w:t xml:space="preserve"> 26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306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14</cp:revision>
  <dcterms:created xsi:type="dcterms:W3CDTF">2021-01-11T07:25:00Z</dcterms:created>
  <dcterms:modified xsi:type="dcterms:W3CDTF">2022-10-05T08:27:00Z</dcterms:modified>
</cp:coreProperties>
</file>