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097F">
      <w:pPr>
        <w:shd w:val="clear" w:color="auto" w:fill="FFFFFF"/>
        <w:spacing w:after="0" w:line="240" w:lineRule="auto"/>
        <w:ind w:firstLine="567"/>
        <w:jc w:val="right"/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Приложение № 2 към чл. 6</w:t>
      </w:r>
    </w:p>
    <w:p w:rsidR="00000000" w:rsidRDefault="0088097F">
      <w:pPr>
        <w:spacing w:after="0" w:line="240" w:lineRule="auto"/>
      </w:pPr>
      <w:r>
        <w:rPr>
          <w:rFonts w:ascii="Verdana" w:hAnsi="Verdana" w:cs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 w:cs="Verdana"/>
        </w:rPr>
        <w:t xml:space="preserve"> (Наредба за ОВОС)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(Изм. - ДВ, бр. 3 от 2006 г., изм. и доп. - ДВ, бр. 3 от 2011 г., изм. и доп. - ДВ, бр. 12 от 2016 г., в сила от 12.02.20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16 г., изм. - ДВ, бр. 3 от 2018 г., изм. - ДВ, бр. 31 от 2019 г., в сила от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12.04.2019 г.)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Информация за преценяване на необходимостта от ОВОС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I. Информация за контакт с възложителя: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1. Име, постоянен адрес, търговско наименование и седалище.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Гюрджеклиев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</w:p>
    <w:p w:rsidR="00000000" w:rsidRDefault="0088097F">
      <w:pPr>
        <w:shd w:val="clear" w:color="auto" w:fill="FFFFFF"/>
        <w:spacing w:after="0" w:line="240" w:lineRule="auto"/>
        <w:ind w:left="1080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 xml:space="preserve">II. 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зюме на инвестиционното предложение: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Съгласно писмо с Изх. № ОВОС-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1445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-1 /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22.06.2023г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. за преценяване на необходимостта от извършване на ОВОС на инвестиционно предложение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за и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зготвяне на проект ПУП-ПРЗ е за промяна предназначението на земеделска зем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я за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жилищно строителство на ПИ с идентификатор 56784.245.12, разделянето му на осем УПИ, обслужваща ги улица и разширение на път.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1. Характеристики на инвестиционното предложение: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а) размер, засегната площ, параметри, мащабност, обем, производителност, о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бхват, оформление на инвестиционното предложение в неговата цялост;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Инвестиционното ми намерение е за промяна предназначението на земеделска земя за жилищно строителство на горецитирания ПИ, разделянето му на осем УПИ, обслужваща ги улица и разширение на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път.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 целта ще се изработи ПУП – ПРЗ с обща 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асегнатата площ 4923 кв.м отговаряща на площта на имота.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Изграждане на еднофамилни  жилищни сгради във всеки УПИ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 един и два етажа, всяка от които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разгъната застроена площ окол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50-300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кв.м.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 плана 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а регулация се предвижда 8 бр. урегулирани поземлени имота и обслужващ ги път. Застрояването на новообразуваните УПИ ще е с устройствени показатели за зона Жм, височина до 7м, плътност на застрояване до 60%, Кинт 1.2, озеленяване мин. 40%. съгласно. Устрой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ствените показатели са съобразени с изменението на ОУП на гр. Пловдив, одобрен с Решение №521, взето с протокол №22 от 21.11.2022г. На Общински съвет- Пловдив.</w:t>
      </w:r>
    </w:p>
    <w:p w:rsidR="00000000" w:rsidRDefault="0088097F">
      <w:pPr>
        <w:shd w:val="clear" w:color="auto" w:fill="FFFFFF"/>
        <w:spacing w:after="0" w:line="264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Теренът е достатъчен за извършване на предвидените дейности и не се налага да бъдат използвани 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опълнителни площи, извън наличната площ на имота.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б) взаимовръзка и кумулиране с други съществуващи и/или одобрени инвестиционни предложения;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Имотът попада непосредствено до жилищната територия на имоти с променен статут и реализирани жилищни сгради.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в) и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С реализацията на инвестиционното предложение не се очаква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използването на природни ресурси. За строителството на ж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илищните сгради ще се използват стандартни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строителни материали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тухли; бетонови и варови разтвори, пясък, баластра, чакъл, трошен камък, мазилки; дървен материал; метални конструкции и арматурно желязо; PVC, PE-HD и PP тръбопроводи; облицовъчни и изолацио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нни материали.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)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За битовите отпадни води ще се изградят водоплътни изгребни ями в съответствие с техническите и санитарно-хигиенните  изисквания. За формиращите се отпадъчни води ще се осигури периодично почистване и извозване до регламентирано място от ли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ца, притежаващи необходимите документи съгласно действащото законодателство.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Очакваните отпадъци са строителни – по време на строителството и битови.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  <w:t>Строителните отпа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дъци ще се събират и извозват в контейнери на посочено от общинската администрация място, в съответствие с действащата нормативна уредба.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Битовите отпадъци ще се събират и извозват чрез мрежа за сметосъбиране.</w:t>
      </w:r>
    </w:p>
    <w:p w:rsidR="00000000" w:rsidRDefault="0088097F">
      <w:pPr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Очакват се единствено битови отпадъчни вод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и, които ще се отвеждат във водоплътни шахти.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д) замърсяване и вредно въздействие; дискомфорт на околната среда;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Няма вероятност от замърсяване и дискомфорт на околната среда.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Замърсяването на въздуха в района по време на строителството ще се дължи на из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горели газове от двигателите с вътрешно горене и запрашаване от машините осъществяващи изкопните, строителните и транспортни дейности.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е) риск от големи аварии и/или бедствия, които са свързани с инвестиционното предложение;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Инвестиционното предложение е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за изграждане на еднофамилни жилищни сгради и няма риск от аварии и бедствия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ж) 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Реализацията на инвестиционното намерение няма да окаже </w:t>
      </w:r>
      <w:r>
        <w:rPr>
          <w:rFonts w:ascii="Times New Roman" w:hAnsi="Times New Roman"/>
          <w:b/>
          <w:bCs/>
          <w:sz w:val="24"/>
          <w:szCs w:val="24"/>
        </w:rPr>
        <w:t>неблагоприятното въздействие на фактори на жизнената среда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определени по смисъла на § 1, т. 12 от допълнителните разпоредби на Закона за здравето.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2. Местоположение на площадката, включително необход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има площ за временни дейности по време на строителството. </w:t>
      </w:r>
    </w:p>
    <w:p w:rsidR="00000000" w:rsidRDefault="0088097F">
      <w:pPr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гр. Пловдив, местност „Прослав“, район „Западен“, ПИ с идентификатор 03304.245.12.</w:t>
      </w:r>
    </w:p>
    <w:p w:rsidR="00000000" w:rsidRDefault="0088097F">
      <w:pPr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Координати на точките, определящи границите на поземления имот – координатна система ККС 2005</w:t>
      </w:r>
    </w:p>
    <w:p w:rsidR="00000000" w:rsidRDefault="0088097F">
      <w:pPr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X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ab/>
        <w:t xml:space="preserve">       Y</w:t>
      </w:r>
    </w:p>
    <w:p w:rsidR="00000000" w:rsidRDefault="0088097F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46661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76.89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  <w:t>431856.36</w:t>
      </w:r>
    </w:p>
    <w:p w:rsidR="00000000" w:rsidRDefault="0088097F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4666172.86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  <w:t>431955.64</w:t>
      </w:r>
    </w:p>
    <w:p w:rsidR="00000000" w:rsidRDefault="0088097F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4666168.66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  <w:t>431955.49</w:t>
      </w:r>
    </w:p>
    <w:p w:rsidR="00000000" w:rsidRDefault="0088097F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4666123.40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ab/>
        <w:t>431854.15</w:t>
      </w:r>
    </w:p>
    <w:p w:rsidR="00000000" w:rsidRDefault="0088097F">
      <w:pPr>
        <w:shd w:val="clear" w:color="auto" w:fill="FFFFFF"/>
        <w:spacing w:after="0" w:line="264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Няма необходимост от друга допълнителна площ за временни дейности по време на строителството. Всички СМР ще се извършват само в границите на имота, предмет на инвестиционнот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о предложение.  </w:t>
      </w:r>
    </w:p>
    <w:p w:rsidR="00000000" w:rsidRDefault="0088097F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:rsidR="00000000" w:rsidRDefault="0088097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В инвестиционно предложение не се предвиждат производствени дейн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ости. </w:t>
      </w:r>
    </w:p>
    <w:p w:rsidR="00000000" w:rsidRDefault="0088097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Предвижда се промяна на предназначението на поземления имот, разделянето му наосем урегулирани поземлени имота, обслужваща ги улица и разширение на път. За целта ще се изработи ПУП-ПРЗ, с урегулиране на поземления имот и разделянето му на УПИ с пре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двидените проектни идентификатори, съобразен с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ru-RU" w:eastAsia="bg-BG"/>
        </w:rPr>
        <w:t>изискванията на ЗУТ, 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новообразуваните</w:t>
      </w:r>
      <w:r>
        <w:rPr>
          <w:rFonts w:ascii="Times New Roman" w:hAnsi="Times New Roman"/>
          <w:b/>
          <w:bCs/>
          <w:sz w:val="24"/>
          <w:szCs w:val="24"/>
        </w:rPr>
        <w:t xml:space="preserve"> УПИ ще се застроява по една жилищна сграда. Всяка една от сградите ще е със застроена площ съобразена с нетните показатели за застрояване в устройствена зона  Жм.</w:t>
      </w:r>
    </w:p>
    <w:p w:rsidR="00000000" w:rsidRDefault="0088097F">
      <w:pPr>
        <w:shd w:val="clear" w:color="auto" w:fill="FFFFFF"/>
        <w:spacing w:after="0" w:line="240" w:lineRule="auto"/>
        <w:ind w:left="150" w:firstLine="475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4. Схема на нова или промяна на съществуваща пътна инфраструктура.</w:t>
      </w:r>
    </w:p>
    <w:p w:rsidR="00000000" w:rsidRDefault="0088097F">
      <w:pPr>
        <w:shd w:val="clear" w:color="auto" w:fill="FFFFFF"/>
        <w:spacing w:after="0" w:line="240" w:lineRule="auto"/>
        <w:ind w:left="150" w:firstLine="475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Транспортният дост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ъп до имота е от запад през новопредвиден път с идентификатор 56784.245.19, който е с вид собственост - Общинска публична, вид територия – Земеделска, категория 4, НТП – За селскостопански, горски, ведомствен път.</w:t>
      </w:r>
    </w:p>
    <w:p w:rsidR="00000000" w:rsidRDefault="0088097F">
      <w:pPr>
        <w:shd w:val="clear" w:color="auto" w:fill="FFFFFF"/>
        <w:spacing w:after="0" w:line="240" w:lineRule="auto"/>
        <w:ind w:left="1080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 xml:space="preserve">       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5. Програма за дейностите, включит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елно за строителство, експлоатация и фазите на закриване, възстановяване и последващо използване.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Инвестиционното предложение  предвижда жилищните сгради да се изградят поетапно за всеки УПИ. Конструкция на сградите  ще бъде монолитна,  стоманобетонова.  О</w:t>
      </w:r>
      <w:r>
        <w:rPr>
          <w:rFonts w:ascii="Times New Roman" w:hAnsi="Times New Roman"/>
          <w:b/>
          <w:bCs/>
          <w:sz w:val="24"/>
          <w:szCs w:val="24"/>
        </w:rPr>
        <w:t xml:space="preserve">топлението на сградите ще бъде с климатици или пелетни котли/камини. Имотите ще бъдат захранени  ел. и ВиК мрежи, по одобрени и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съгласувани от съответните инстанции проекти.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Последователността на строителните дейности се разделят на: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Временно строителств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о. 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Площадка за строителните материали, малогабаритна строителна механизация и фургон за работниците, в който ще бъде съхраняван дребен инвентар  ще бъдат ситуирани в границите на всяко от новообразуваните УПИ.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Площадка за временно съхраняване на строителн</w:t>
      </w:r>
      <w:r>
        <w:rPr>
          <w:rFonts w:ascii="Times New Roman" w:hAnsi="Times New Roman"/>
          <w:b/>
          <w:bCs/>
          <w:sz w:val="24"/>
          <w:szCs w:val="24"/>
        </w:rPr>
        <w:t xml:space="preserve">и отпадъци. Нейната площ ще бъде малка тъй като на нея ще се съхраняват главно отпадъци от некачествени строителни материали и отломки от новото строителство. 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Основно строителство. 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Този етап ще се осъществи в рамките на един строителен сезон. За изграж</w:t>
      </w:r>
      <w:r>
        <w:rPr>
          <w:rFonts w:ascii="Times New Roman" w:hAnsi="Times New Roman"/>
          <w:b/>
          <w:bCs/>
          <w:sz w:val="24"/>
          <w:szCs w:val="24"/>
        </w:rPr>
        <w:t>дане на жилищните сгради се предвижда изпълнението на стандартни за такъв тип строителство дейности – изкопни, кофражни, армировъчни, бетонови и монтажни. През този етап ще бъдат изградени и елементите на спомагателната инфраструктура – електроснабдяването</w:t>
      </w:r>
      <w:r>
        <w:rPr>
          <w:rFonts w:ascii="Times New Roman" w:hAnsi="Times New Roman"/>
          <w:b/>
          <w:bCs/>
          <w:sz w:val="24"/>
          <w:szCs w:val="24"/>
        </w:rPr>
        <w:t>, ВиК мрежата.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Закриване на строителната площадка. 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След изграждане на сградите, спомагателните площадки ще бъдат закрити. Генерираните по време на строителството отпадъци ще бъдат предавани на лица притежаващи съответните разрешителни по реда на ЗУО. Зе</w:t>
      </w:r>
      <w:r>
        <w:rPr>
          <w:rFonts w:ascii="Times New Roman" w:hAnsi="Times New Roman"/>
          <w:b/>
          <w:bCs/>
          <w:sz w:val="24"/>
          <w:szCs w:val="24"/>
        </w:rPr>
        <w:t xml:space="preserve">мните маси от изкопните дейности и хумусния слой, ще бъдат използвани при изпълнение на вертикалната планировка на сградите и за рекултивация на засегнатите от строителството площи в имота.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6. Предлагани методи за строителство.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Строителството на жилищнит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е сгради ще се извършва по традиционни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за жилищното строителство методи.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Предвиждат се стандартни СМР - изкопни дейности, кофриране, наливане на бетон, зидария и др. Ще се използват стандартни строителни материали от търговската мрежа. Транспортното обслуж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ване на новите обекти е през новопроектиран път. Изкопите за основите на строежа ще достигнат до около 3.50 м, като те ще се извършват със земекопна техника (без използване на взрив).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</w:p>
    <w:p w:rsidR="00000000" w:rsidRDefault="0088097F">
      <w:pPr>
        <w:numPr>
          <w:ilvl w:val="1"/>
          <w:numId w:val="3"/>
        </w:numPr>
        <w:shd w:val="clear" w:color="auto" w:fill="FFFFFF"/>
        <w:tabs>
          <w:tab w:val="left" w:pos="913"/>
        </w:tabs>
        <w:spacing w:after="0" w:line="240" w:lineRule="auto"/>
        <w:ind w:left="0" w:firstLine="600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Доказване на необходимостта от инвестиционното предложение.</w:t>
      </w:r>
    </w:p>
    <w:p w:rsidR="00000000" w:rsidRDefault="0088097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Основн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ите мотиви за необходимостта от реализацията на инвестиционното предложение включват:</w:t>
      </w:r>
    </w:p>
    <w:p w:rsidR="00000000" w:rsidRDefault="0088097F">
      <w:pPr>
        <w:numPr>
          <w:ilvl w:val="0"/>
          <w:numId w:val="4"/>
        </w:numPr>
        <w:shd w:val="clear" w:color="auto" w:fill="FFFFFF"/>
        <w:tabs>
          <w:tab w:val="left" w:pos="650"/>
        </w:tabs>
        <w:spacing w:after="0" w:line="240" w:lineRule="auto"/>
        <w:ind w:left="0" w:firstLine="388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подходяща среда;</w:t>
      </w:r>
    </w:p>
    <w:p w:rsidR="00000000" w:rsidRDefault="0088097F">
      <w:pPr>
        <w:numPr>
          <w:ilvl w:val="0"/>
          <w:numId w:val="4"/>
        </w:numPr>
        <w:shd w:val="clear" w:color="auto" w:fill="FFFFFF"/>
        <w:tabs>
          <w:tab w:val="left" w:pos="650"/>
        </w:tabs>
        <w:spacing w:after="0" w:line="240" w:lineRule="auto"/>
        <w:ind w:left="0" w:firstLine="388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транспортно-комуникационна обезпеченост;</w:t>
      </w:r>
    </w:p>
    <w:p w:rsidR="00000000" w:rsidRDefault="0088097F">
      <w:pPr>
        <w:numPr>
          <w:ilvl w:val="0"/>
          <w:numId w:val="4"/>
        </w:numPr>
        <w:shd w:val="clear" w:color="auto" w:fill="FFFFFF"/>
        <w:tabs>
          <w:tab w:val="left" w:pos="650"/>
        </w:tabs>
        <w:spacing w:after="0" w:line="240" w:lineRule="auto"/>
        <w:ind w:left="0" w:firstLine="388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имотът не попада в обхвата на защитени територии и защитени зони;</w:t>
      </w:r>
    </w:p>
    <w:p w:rsidR="00000000" w:rsidRDefault="0088097F">
      <w:pPr>
        <w:numPr>
          <w:ilvl w:val="0"/>
          <w:numId w:val="4"/>
        </w:numPr>
        <w:shd w:val="clear" w:color="auto" w:fill="FFFFFF"/>
        <w:tabs>
          <w:tab w:val="left" w:pos="650"/>
        </w:tabs>
        <w:spacing w:after="0" w:line="240" w:lineRule="auto"/>
        <w:ind w:left="0" w:firstLine="388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нарастващо търсене на парцели с цел изграждане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на жилищни сгради извънградска територия.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Местоположението на имота е съобразено с дейността, която ще се развива, той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попада непосредствено до жилищната територия на квартал Прослав. В съседство има имоти с променен статут и реализирани жилищни сг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ради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 реализацията на инвестиционното предложение ще се  подпомогне социално – икономическото развитие на района и ще се насърчи устойчивото му развитие.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8. План, карти и снимки, показващи границите на инвестиционното предложение, даващи информация за ф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000000" w:rsidRDefault="0088097F">
      <w:pPr>
        <w:shd w:val="clear" w:color="auto" w:fill="FFFFFF"/>
        <w:spacing w:after="0" w:line="264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Към документацията са приложени скица</w:t>
      </w:r>
      <w:r>
        <w:rPr>
          <w:rFonts w:ascii="Times New Roman" w:hAnsi="Times New Roman"/>
          <w:b/>
          <w:bCs/>
          <w:sz w:val="24"/>
          <w:szCs w:val="24"/>
        </w:rPr>
        <w:t xml:space="preserve"> на имота, в който се предвижда да се реализира инвестиционното предложение.  Скица-предложение за разделянето на имота.</w:t>
      </w:r>
    </w:p>
    <w:p w:rsidR="00000000" w:rsidRDefault="0088097F">
      <w:pPr>
        <w:shd w:val="clear" w:color="auto" w:fill="FFFFFF"/>
        <w:spacing w:after="0" w:line="264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Имота не попада  в границите на защитени територии, съгласно Закона за защитените територии и защитени зони, съгласно Закона за биологи</w:t>
      </w:r>
      <w:r>
        <w:rPr>
          <w:rFonts w:ascii="Times New Roman" w:hAnsi="Times New Roman"/>
          <w:b/>
          <w:bCs/>
          <w:sz w:val="24"/>
          <w:szCs w:val="24"/>
        </w:rPr>
        <w:t xml:space="preserve">чното разнообразие. </w:t>
      </w:r>
    </w:p>
    <w:p w:rsidR="00000000" w:rsidRDefault="0088097F">
      <w:pPr>
        <w:shd w:val="clear" w:color="auto" w:fill="FFFFFF"/>
        <w:spacing w:after="0" w:line="264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Съгласно т.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І от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исмо с Изх. № ОВОС -1445-1 от 22.06.2023г, най-близката защитена зона от Европейската екологична мрежа „НАТУРА 2000“, до която се намира имота е 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-US" w:eastAsia="bg-BG"/>
        </w:rPr>
        <w:t>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0000578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„Река Марица“.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9. Съществуващо земеползване по границите на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площадката или трасето на инвестиционното предложение.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Имотът граничи с земеделски земи, както и с имоти с променено предназначение за жилищно строителство.</w:t>
      </w:r>
    </w:p>
    <w:p w:rsidR="00000000" w:rsidRDefault="0088097F">
      <w:pPr>
        <w:pStyle w:val="BodyTextIndent"/>
        <w:shd w:val="clear" w:color="auto" w:fill="FFFFFF"/>
        <w:spacing w:after="0" w:line="264" w:lineRule="auto"/>
        <w:ind w:left="0" w:firstLine="709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Реализацията на инвестиционното предложение не влиза в противоречие и пряко въздействие с други одо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брени и влезли в сила устройствени планове, обекти и дейности. Имотът няма пряка връзка с имоти с променено предназначение, но в обхвата на предложението са  процедирани и отредени УПИ  с предвиждания за жилищно строителство. Реализацията на инвестиционнот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 предложение няма да повлияе негативно върху ползвателите на съседните имоти.</w:t>
      </w:r>
    </w:p>
    <w:p w:rsidR="00000000" w:rsidRDefault="0088097F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Новопредвидените имоти ще бъдат захранени с вода от водопроводната мрежа по новопредвидения път с идентификатор 567</w:t>
      </w:r>
      <w:r>
        <w:rPr>
          <w:rFonts w:ascii="Times New Roman" w:hAnsi="Times New Roman"/>
          <w:b/>
          <w:bCs/>
          <w:sz w:val="24"/>
          <w:szCs w:val="24"/>
        </w:rPr>
        <w:t xml:space="preserve">84.245.19. Заустването на отпадъчните битови води ще става  във водоплътни ями във всяко от новопроектираните УПИ. 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Електроснабдяване на имотите ще се осъществи по схема на експлотационното дружество чрез присъединяване към съществуващата ел. мрежа в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а. 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Освен описаното по – горе, не се предвиждат други дейности, свързани с инвестиционното предложение, като добив на строителни материали, добив или пренасяне на енергия</w:t>
      </w:r>
    </w:p>
    <w:p w:rsidR="00000000" w:rsidRDefault="0088097F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Други дейности, свързани с инвестиционното предложение (например добив на строителни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материали, нов водопровод, добив или пренасяне на енергия, жилищно строителство).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Водоснабдяването на бъдещите жилищни сгради ще се извършва от наличната водопроводна мрежа.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Електроснабдяване на имотите ще се осъществи по схема на експлоатационното дружес</w:t>
      </w:r>
      <w:r>
        <w:rPr>
          <w:rFonts w:ascii="Times New Roman" w:hAnsi="Times New Roman"/>
          <w:b/>
          <w:bCs/>
          <w:sz w:val="24"/>
          <w:szCs w:val="24"/>
        </w:rPr>
        <w:t xml:space="preserve">тво чрез присъединяване към съществуващата ел. мрежа в района. 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При работното проектиране ще се заложат мероприятия, гарантиращи спазването на екологичното законодателство.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 време на изграждането на обекта ще бъдат предвидени мерки: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-  надеждно укрепване</w:t>
      </w:r>
      <w:r>
        <w:rPr>
          <w:rFonts w:ascii="Times New Roman" w:hAnsi="Times New Roman"/>
          <w:b/>
          <w:bCs/>
          <w:sz w:val="24"/>
          <w:szCs w:val="24"/>
        </w:rPr>
        <w:t xml:space="preserve"> на изкопи;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- бетонирането да се извършва без прекъсване, а декофрирането  да става не по-рано от 28-ия ден от бетонирането;</w:t>
      </w:r>
    </w:p>
    <w:p w:rsidR="00000000" w:rsidRDefault="0088097F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Необходимост от други разрешителни, свързани с инвестиционното предложение.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За реализацията на инвестиционното предложение е необхо</w:t>
      </w:r>
      <w:r>
        <w:rPr>
          <w:rFonts w:ascii="Times New Roman" w:hAnsi="Times New Roman"/>
          <w:b/>
          <w:bCs/>
          <w:sz w:val="24"/>
          <w:szCs w:val="24"/>
        </w:rPr>
        <w:t xml:space="preserve">димо издаване на: </w:t>
      </w:r>
    </w:p>
    <w:p w:rsidR="00000000" w:rsidRDefault="0088097F">
      <w:pPr>
        <w:numPr>
          <w:ilvl w:val="0"/>
          <w:numId w:val="13"/>
        </w:numPr>
        <w:spacing w:after="0" w:line="264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Решение за преценяване необходимостта от изготвяне на ОВОС от Директора на РИОСВ-Пловдив;</w:t>
      </w:r>
    </w:p>
    <w:p w:rsidR="00000000" w:rsidRDefault="0088097F">
      <w:pPr>
        <w:numPr>
          <w:ilvl w:val="0"/>
          <w:numId w:val="13"/>
        </w:numPr>
        <w:spacing w:after="0" w:line="264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Акт за категоризация на имота от ОДЗ-Пловдив</w:t>
      </w:r>
    </w:p>
    <w:p w:rsidR="00000000" w:rsidRDefault="008809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Одобряване на ПУП-ПРЗ от Кмета на  Община Пловдив;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Издаване на разрешения за строеж за</w:t>
      </w:r>
      <w:r>
        <w:rPr>
          <w:rFonts w:ascii="Times New Roman" w:hAnsi="Times New Roman"/>
          <w:b/>
          <w:bCs/>
          <w:sz w:val="24"/>
          <w:szCs w:val="24"/>
        </w:rPr>
        <w:t xml:space="preserve"> жилищните с</w:t>
      </w:r>
      <w:r>
        <w:rPr>
          <w:rFonts w:ascii="Times New Roman" w:hAnsi="Times New Roman"/>
          <w:b/>
          <w:bCs/>
          <w:sz w:val="24"/>
          <w:szCs w:val="24"/>
        </w:rPr>
        <w:t>гради от Главния архитект на  район „Западен“;</w:t>
      </w:r>
    </w:p>
    <w:p w:rsidR="00000000" w:rsidRDefault="0088097F">
      <w:pPr>
        <w:spacing w:after="0" w:line="264" w:lineRule="auto"/>
        <w:ind w:firstLine="360"/>
        <w:jc w:val="both"/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се вземат под внимание, и по-конкретно:</w:t>
      </w:r>
    </w:p>
    <w:p w:rsidR="00000000" w:rsidRDefault="0088097F">
      <w:p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 Пловдив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, местност „Прослав“, Район „Западен“, ПИ с идентификатор 56784.245.12. </w:t>
      </w:r>
      <w:r>
        <w:rPr>
          <w:rFonts w:ascii="Times New Roman" w:hAnsi="Times New Roman"/>
          <w:b/>
          <w:bCs/>
          <w:sz w:val="24"/>
          <w:szCs w:val="24"/>
        </w:rPr>
        <w:t>Имотът представлява земеделска земя с начин на трайно ползване “нива” 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Реализацията на инвестиционното намерение не влиза в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ротиворечие и пряко въздействие с други одобрени и влезли в сила устройствени планове, обекти и дейности. Реализацията на инвестиционното предложение няма да създаде рискови фактори по отношение на района и близките населени места. При осъществяване на обе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кта не се очаква промяна на почвените показатели от съществуващото положение, ако строителството и експлоатацията се осъществят съгласно действащите нормативни изисквания. Реализацията на обекта не би повлияла върху качествата на почвата и земните недра, н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 е свързана с дейности, оказващи отрицателно въздействие върху ландшафта в района.  Техническите проекти, както и експлоатацията на обекта ще бъдат изпълнени по всички нормативни изисквания и бъдещия обект няма да доведе до замърсяване компонентите на око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лната среда.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1. съществуващо и одобрено земеползване;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Имотът попада непосредствено до жилищната територия. В съседство на имота има земеделски земи, като и имоти с променен статут и реализирани жилищни сгради.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2. мочурища, крайречни области, речни устия;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Имотът, не попада в мочурища, крайречни области и речни устия, поради което  не се очаква реализацията му да окаже негативно влияние.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3. крайбрежни зони и морска околна среда;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Имота, предмет на инвестиционното предложение  не засяга крайбрежни зони и мор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ска среда.</w:t>
      </w:r>
    </w:p>
    <w:p w:rsidR="00000000" w:rsidRDefault="0088097F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планински и горски райони;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Имота в който се предвижда да се реализира инвестиционното предложение се намира в равнинен район. В съседните имоти в границите им липсва дървесна растителност, представляваща гора по смисъла на Закона за гор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ите и не засяга планински и гористи местности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</w:p>
    <w:p w:rsidR="00000000" w:rsidRDefault="0088097F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защитени със закон територии;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Имота, предмет на инвестиционното предложение не попадат в границите на защитени територии по смисъла на Закона за защитените територии, или в други защитени със закон те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ритории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</w:p>
    <w:p w:rsidR="00000000" w:rsidRDefault="0088097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засегнати елементи от Националната екологична мрежа;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Имота не попада  в границите на защитени територии, съгласно Закона за защитените територии и защитени зони, съгласно Закона за биологичното разнообразие.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Съгласно т.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І от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исмо с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Изх. № ОВОС -1445-1 от 22.06.2023г, най-близката защитена зона от Европейската екологична мрежа „НАТУРА 2000“, до която се намира имота е 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-US" w:eastAsia="bg-BG"/>
        </w:rPr>
        <w:t>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0000578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„Река Марица“.</w:t>
      </w:r>
    </w:p>
    <w:p w:rsidR="00000000" w:rsidRDefault="0088097F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ландшафт и обекти с историческа, културна или археологическа стойност;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Ландшафтът в 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йона на инвестиционното предложение е земеделски, район с интензивно ползване на земята и редица свързани с това съпътстващи дейности на местното население. В границите на имотите и в близост до тях липсват обекти с историческа, културна или археологическа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стойност.</w:t>
      </w:r>
    </w:p>
    <w:p w:rsidR="00000000" w:rsidRDefault="0088097F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lastRenderedPageBreak/>
        <w:t>територии и/или зони и обекти със специфичен санитарен статут или подлежащи на здравна защита.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Засегнатата от инвестиционното предложение територия и района около нея не представлява обект със специфичен санитарен статут или подлежаща на 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дравна защита.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1. Въздействие върху населението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Характерът на инвестиционното предложение не предполага отри</w:t>
      </w:r>
      <w:r>
        <w:rPr>
          <w:rFonts w:ascii="Times New Roman" w:hAnsi="Times New Roman"/>
          <w:b/>
          <w:bCs/>
          <w:sz w:val="24"/>
          <w:szCs w:val="24"/>
        </w:rPr>
        <w:t xml:space="preserve">цателно въздействие и здравето на населението на кв. Прослав и близките населени места. 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Не се очаква отрицателно въздействие върху водните екосистеми вследствие строителството и експлоатацията на инвестиционното предложение. Изграждането на жилищните сгра</w:t>
      </w:r>
      <w:r>
        <w:rPr>
          <w:rFonts w:ascii="Times New Roman" w:hAnsi="Times New Roman"/>
          <w:b/>
          <w:bCs/>
          <w:sz w:val="24"/>
          <w:szCs w:val="24"/>
        </w:rPr>
        <w:t>ди няма да повлияе на качествата на почвата, земните недра ландшафта и климата в района.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Очаква се по време на строителството да се повиши слабо запрашаването на въздуха и шумовото въздействие от работещата техника през деня, но то ще бъде временно и кратк</w:t>
      </w:r>
      <w:r>
        <w:rPr>
          <w:rFonts w:ascii="Times New Roman" w:hAnsi="Times New Roman"/>
          <w:b/>
          <w:bCs/>
          <w:sz w:val="24"/>
          <w:szCs w:val="24"/>
        </w:rPr>
        <w:t>отрайно.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Не се очаква отрицателно въздействие върху елементите на Националната екологична мрежа от реализацията на инвест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иционното предложение.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По време на строителните дейности е възможно само временно замърсяване чрез запрашаване на въздуха през пер</w:t>
      </w:r>
      <w:r>
        <w:rPr>
          <w:rFonts w:ascii="Times New Roman" w:hAnsi="Times New Roman"/>
          <w:b/>
          <w:bCs/>
          <w:sz w:val="24"/>
          <w:szCs w:val="24"/>
        </w:rPr>
        <w:t>иода на строително-монтажните работи.  При реализацията на обектите не се очакват наднормени нива на шум, вибрации, или поява на вредни лъчения.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4. Вид и естество на въздействието (пряко, непряко, вторично, кумулативно, краткотрайно, средно- и дълготрайно,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постоянно и временно, положително и отрицателно).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Въздействието върху компонентите на околната среда при строителството може да се оцени, като незначително, краткотрайно и временно (в периода на строителство), пряко и непряко, без кумулативно действие и л</w:t>
      </w:r>
      <w:r>
        <w:rPr>
          <w:rFonts w:ascii="Times New Roman" w:hAnsi="Times New Roman"/>
          <w:b/>
          <w:bCs/>
          <w:sz w:val="24"/>
          <w:szCs w:val="24"/>
        </w:rPr>
        <w:t xml:space="preserve">окално само в района на строителната площадка. 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5. Степен и пространствен обхват на въздействието 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ато, и др.).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Инвестиционното предложение ще се реализира в южната част на Горнотракийската низина, землище на гр. Пловдив, м. Прослав. Предвид характера и мащаба на инвестиционното предложение, реализацията му има локален обхват и не се очаква да засегне в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негативен аспект населението на селото и други близки населени места. Същото има изцяло положителен ефект – ще се  подпомогне социално – икономическото развитие на района и ще се насърчи устойчивото му развитие. Реализацията на инвестиционното предложение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няма да засегне в негативен аспект жителите на селото и съседните населени места.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6. Вероятност, интензивност, комплексност на въздействието.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Реализацията на инвестиционното предложение няма да повлияе отрицателно върху компонентите на околната среда. Пр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и фазата на строителство, продължителността на въздействието е краткотрайно само по време на  строително-монтажните дейности. То е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lastRenderedPageBreak/>
        <w:t>еднократно без обратимост. Във фазата на експлоатация в съответствие с технологичната схема на инвестиционното предложение, в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ъздействието е непрекъснато и постоянно. Предвид характера на обектите, предмет на инвестиционното предложение и липсата на производствена дейност, реализацията на инвестиционното предложение няма да повлияе върху качеството и регенеративната способност на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природните ресурси. Компонентите на околната среда в района няма вероятност да бъдат подложени на интензивни и комплексни въздействия, предизвикващи наднорменото им замърсяване.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7. Очакваното настъпване, продължителността, честотата и обратимостта на възд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ействието.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Продължителност на въздействието - краткотрайно максимум до 1г. (за срока на строителството); Честота на въздействието - кратко с периодично (в условие на светъл работен ден) въздействие;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8. Комбинирането с въздействия на други съществуващи и/ил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и одобрени инвестиционни предложения.</w:t>
      </w:r>
    </w:p>
    <w:p w:rsidR="00000000" w:rsidRDefault="0088097F">
      <w:pPr>
        <w:shd w:val="clear" w:color="auto" w:fill="FFFFFF"/>
        <w:spacing w:after="0" w:line="264" w:lineRule="auto"/>
        <w:ind w:firstLine="424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Имотът няма пряка връзка със съседните имоти с променено предназначение.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9. Възможността за ефективно намаляване на въздействията.</w:t>
      </w:r>
    </w:p>
    <w:p w:rsidR="00000000" w:rsidRDefault="0088097F">
      <w:pPr>
        <w:shd w:val="clear" w:color="auto" w:fill="FFFFFF"/>
        <w:spacing w:after="0" w:line="264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Мерките, които ще се предвидят за намаляване на евентуалното негативно влияние от реали</w:t>
      </w:r>
      <w:r>
        <w:rPr>
          <w:rFonts w:ascii="Times New Roman" w:hAnsi="Times New Roman"/>
          <w:b/>
          <w:bCs/>
          <w:sz w:val="24"/>
          <w:szCs w:val="24"/>
        </w:rPr>
        <w:t>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10. Трансграничен характер на въздействието.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Не се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очакват трансгранични въздействия.</w:t>
      </w: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овешкото здраве.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При строителството ще се вземат следните мерки за  намаляване на отрицателното въздействие на обекта върху околната среда и хората: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- Ограничаване на прахоотделянето при строителните работи, при транспортиране на материала и санитарно хиги</w:t>
      </w:r>
      <w:r>
        <w:rPr>
          <w:rFonts w:ascii="Times New Roman" w:hAnsi="Times New Roman"/>
          <w:b/>
          <w:bCs/>
          <w:sz w:val="24"/>
          <w:szCs w:val="24"/>
        </w:rPr>
        <w:t>енните изисквания за безопасна работа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На работниците ще се осигурят необходимите лични предпазни средства (антифони, противопрахови маски, каски) за опазване здравето на работниците при съществуващите параметри на работната среда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Своевременно и регул</w:t>
      </w:r>
      <w:r>
        <w:rPr>
          <w:rFonts w:ascii="Times New Roman" w:hAnsi="Times New Roman"/>
          <w:b/>
          <w:bCs/>
          <w:sz w:val="24"/>
          <w:szCs w:val="24"/>
        </w:rPr>
        <w:t>ярно оросяване на пътищата по време на строителството,  през  сухите и топли периоди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Механизацията ще работи в изправно състояние, за да се предотвратят всякакви аварии от горивно смазочни материали, което би довело до замърсяване на подземните  води в </w:t>
      </w:r>
      <w:r>
        <w:rPr>
          <w:rFonts w:ascii="Times New Roman" w:hAnsi="Times New Roman"/>
          <w:b/>
          <w:bCs/>
          <w:sz w:val="24"/>
          <w:szCs w:val="24"/>
        </w:rPr>
        <w:t xml:space="preserve">района 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Ще се разработи план за аварийни, кризисни ситуации и залпови замърсявания  и мерки  за тяхното предотвратяване или преодоляване;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- Упражняване на ефективен контрол от страна на възложителите за спазването на вътрешния ред и програмата за управл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ение на генерираните отпадъци при производствената дейност</w:t>
      </w:r>
    </w:p>
    <w:p w:rsidR="00000000" w:rsidRDefault="0088097F">
      <w:pPr>
        <w:shd w:val="clear" w:color="auto" w:fill="FFFFFF"/>
        <w:spacing w:after="0" w:line="264" w:lineRule="auto"/>
        <w:ind w:firstLine="360"/>
        <w:jc w:val="both"/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000000" w:rsidRDefault="0088097F">
      <w:pPr>
        <w:spacing w:after="0" w:line="264" w:lineRule="auto"/>
        <w:ind w:firstLine="360"/>
        <w:jc w:val="both"/>
      </w:pPr>
      <w:r>
        <w:rPr>
          <w:rFonts w:ascii="Arial" w:eastAsia="Arial" w:hAnsi="Arial" w:cs="Arial"/>
          <w:color w:val="222222"/>
          <w:sz w:val="28"/>
          <w:szCs w:val="28"/>
          <w:lang w:eastAsia="bg-BG"/>
        </w:rPr>
        <w:t xml:space="preserve">  </w:t>
      </w:r>
      <w:r>
        <w:rPr>
          <w:rFonts w:ascii="Arial" w:eastAsia="Arial" w:hAnsi="Arial" w:cs="Arial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съответствие с изискванията на чл. 4 от Наредбата за условията и реда за извършване на ОВОС, възложителя е извършил уведомление на засегн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атото население. До настоящият момент не са постъпили писмени или устни възражения относно инвестиционното предложение. </w:t>
      </w:r>
    </w:p>
    <w:p w:rsidR="00000000" w:rsidRDefault="0088097F">
      <w:pPr>
        <w:spacing w:after="0" w:line="264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pacing w:after="0" w:line="264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pacing w:after="0" w:line="264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pacing w:after="0" w:line="264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000000" w:rsidRDefault="0088097F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bg-BG"/>
        </w:rPr>
        <w:t>ВЪЗЛОЖИТЕЛ: ........................................</w:t>
      </w:r>
    </w:p>
    <w:sectPr w:rsidR="00000000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C"/>
    <w:rsid w:val="0088097F"/>
    <w:rsid w:val="00C1754C"/>
    <w:rsid w:val="00ED3C0B"/>
    <w:rsid w:val="00E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CB740"/>
  <w15:chartTrackingRefBased/>
  <w15:docId w15:val="{52CD564E-112B-4005-B360-107CA65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a">
    <w:name w:val="Шрифт на абзаца по подразбиране"/>
  </w:style>
  <w:style w:type="character" w:customStyle="1" w:styleId="NumberingSymbols">
    <w:name w:val="Numbering Symbols"/>
  </w:style>
  <w:style w:type="character" w:styleId="Hyperlink">
    <w:name w:val="Hyperlink"/>
    <w:rPr>
      <w:color w:val="0000FF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Times New Roman"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cp:lastModifiedBy>Anastasia Staneva</cp:lastModifiedBy>
  <cp:revision>3</cp:revision>
  <cp:lastPrinted>2023-08-04T12:18:00Z</cp:lastPrinted>
  <dcterms:created xsi:type="dcterms:W3CDTF">2023-10-04T07:45:00Z</dcterms:created>
  <dcterms:modified xsi:type="dcterms:W3CDTF">2023-10-04T07:57:00Z</dcterms:modified>
</cp:coreProperties>
</file>