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21121E" w:rsidRPr="0021121E" w:rsidRDefault="0021121E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3D172D" w:rsidRPr="00EC06FB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EC06FB">
        <w:rPr>
          <w:rFonts w:ascii="Verdana" w:hAnsi="Verdana"/>
          <w:b/>
          <w:bCs/>
          <w:sz w:val="28"/>
          <w:szCs w:val="28"/>
          <w:lang w:val="bg-BG"/>
        </w:rPr>
        <w:t xml:space="preserve">РЕШЕНИЕ № ПВ – </w:t>
      </w:r>
      <w:r w:rsidR="00740A90" w:rsidRPr="00EC06FB">
        <w:rPr>
          <w:rFonts w:ascii="Verdana" w:hAnsi="Verdana"/>
          <w:b/>
          <w:bCs/>
          <w:sz w:val="28"/>
          <w:szCs w:val="28"/>
          <w:lang w:val="bg-BG"/>
        </w:rPr>
        <w:t>1</w:t>
      </w:r>
      <w:r w:rsidR="00AC15F8" w:rsidRPr="00EC06FB">
        <w:rPr>
          <w:rFonts w:ascii="Verdana" w:hAnsi="Verdana"/>
          <w:b/>
          <w:bCs/>
          <w:sz w:val="28"/>
          <w:szCs w:val="28"/>
          <w:lang w:val="bg-BG"/>
        </w:rPr>
        <w:t>2</w:t>
      </w:r>
      <w:r w:rsidR="00D80ECF" w:rsidRPr="00EC06FB">
        <w:rPr>
          <w:rFonts w:ascii="Verdana" w:hAnsi="Verdana"/>
          <w:b/>
          <w:bCs/>
          <w:sz w:val="28"/>
          <w:szCs w:val="28"/>
          <w:lang w:val="bg-BG"/>
        </w:rPr>
        <w:t>2</w:t>
      </w:r>
      <w:r w:rsidRPr="00EC06FB">
        <w:rPr>
          <w:rFonts w:ascii="Verdana" w:hAnsi="Verdana"/>
          <w:b/>
          <w:bCs/>
          <w:sz w:val="28"/>
          <w:szCs w:val="28"/>
          <w:lang w:val="bg-BG"/>
        </w:rPr>
        <w:t xml:space="preserve"> -ПР/2015 год.</w:t>
      </w:r>
    </w:p>
    <w:p w:rsidR="003D172D" w:rsidRPr="00EC06FB" w:rsidRDefault="003D172D" w:rsidP="00FE0A3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EC06FB">
        <w:rPr>
          <w:rFonts w:ascii="Verdana" w:hAnsi="Verdana"/>
          <w:b/>
          <w:sz w:val="22"/>
          <w:szCs w:val="22"/>
          <w:lang w:val="bg-BG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EC06FB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EC06FB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EC06FB" w:rsidRDefault="003D172D" w:rsidP="00FE0A34">
      <w:pPr>
        <w:pStyle w:val="a7"/>
        <w:rPr>
          <w:rFonts w:ascii="Verdana" w:hAnsi="Verdana"/>
          <w:b/>
        </w:rPr>
      </w:pPr>
      <w:r w:rsidRPr="00EC06FB">
        <w:rPr>
          <w:rFonts w:ascii="Verdana" w:hAnsi="Verdana"/>
          <w:b/>
        </w:rPr>
        <w:t>На основание</w:t>
      </w:r>
      <w:r w:rsidRPr="00EC06FB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EC06FB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EC06FB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EC06FB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C06FB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</w:t>
      </w:r>
      <w:r w:rsidR="0021121E" w:rsidRPr="00EC06FB">
        <w:rPr>
          <w:rFonts w:ascii="Verdana" w:hAnsi="Verdana"/>
        </w:rPr>
        <w:t xml:space="preserve"> </w:t>
      </w:r>
      <w:r w:rsidRPr="00EC06FB">
        <w:rPr>
          <w:rFonts w:ascii="Verdana" w:hAnsi="Verdana"/>
        </w:rPr>
        <w:t xml:space="preserve"> становищ</w:t>
      </w:r>
      <w:r w:rsidR="00AF313C" w:rsidRPr="00EC06FB">
        <w:rPr>
          <w:rFonts w:ascii="Verdana" w:hAnsi="Verdana"/>
        </w:rPr>
        <w:t>е</w:t>
      </w:r>
      <w:r w:rsidRPr="00EC06FB">
        <w:rPr>
          <w:rFonts w:ascii="Verdana" w:hAnsi="Verdana"/>
        </w:rPr>
        <w:t xml:space="preserve"> от Р</w:t>
      </w:r>
      <w:r w:rsidR="00AF313C" w:rsidRPr="00EC06FB">
        <w:rPr>
          <w:rFonts w:ascii="Verdana" w:hAnsi="Verdana"/>
        </w:rPr>
        <w:t xml:space="preserve">егионална </w:t>
      </w:r>
      <w:r w:rsidRPr="00EC06FB">
        <w:rPr>
          <w:rFonts w:ascii="Verdana" w:hAnsi="Verdana"/>
        </w:rPr>
        <w:t>З</w:t>
      </w:r>
      <w:r w:rsidR="00AF313C" w:rsidRPr="00EC06FB">
        <w:rPr>
          <w:rFonts w:ascii="Verdana" w:hAnsi="Verdana"/>
        </w:rPr>
        <w:t xml:space="preserve">дравна </w:t>
      </w:r>
      <w:proofErr w:type="spellStart"/>
      <w:r w:rsidRPr="00EC06FB">
        <w:rPr>
          <w:rFonts w:ascii="Verdana" w:hAnsi="Verdana"/>
        </w:rPr>
        <w:t>И</w:t>
      </w:r>
      <w:r w:rsidR="00AF313C" w:rsidRPr="00EC06FB">
        <w:rPr>
          <w:rFonts w:ascii="Verdana" w:hAnsi="Verdana"/>
        </w:rPr>
        <w:t>спекция</w:t>
      </w:r>
      <w:proofErr w:type="spellEnd"/>
      <w:r w:rsidR="00AF313C" w:rsidRPr="00EC06FB">
        <w:rPr>
          <w:rFonts w:ascii="Verdana" w:hAnsi="Verdana"/>
        </w:rPr>
        <w:t>-</w:t>
      </w:r>
      <w:r w:rsidRPr="00EC06FB">
        <w:rPr>
          <w:rFonts w:ascii="Verdana" w:hAnsi="Verdana"/>
        </w:rPr>
        <w:t xml:space="preserve"> Пловдив</w:t>
      </w:r>
      <w:r w:rsidR="00E86DE1" w:rsidRPr="00EC06FB">
        <w:rPr>
          <w:rFonts w:ascii="Verdana" w:hAnsi="Verdana"/>
        </w:rPr>
        <w:t xml:space="preserve"> </w:t>
      </w:r>
      <w:r w:rsidRPr="00EC06FB">
        <w:rPr>
          <w:rFonts w:ascii="Verdana" w:hAnsi="Verdana"/>
        </w:rPr>
        <w:t xml:space="preserve"> </w:t>
      </w:r>
      <w:r w:rsidRPr="00EC06FB">
        <w:rPr>
          <w:rFonts w:ascii="Verdana" w:hAnsi="Verdana"/>
          <w:b/>
        </w:rPr>
        <w:t xml:space="preserve">                                                </w:t>
      </w:r>
    </w:p>
    <w:p w:rsidR="003D172D" w:rsidRPr="00EC06FB" w:rsidRDefault="003D172D" w:rsidP="00FE0A34">
      <w:pPr>
        <w:pStyle w:val="a7"/>
        <w:rPr>
          <w:rFonts w:ascii="Verdana" w:hAnsi="Verdana"/>
          <w:b/>
        </w:rPr>
      </w:pPr>
      <w:r w:rsidRPr="00EC06FB">
        <w:rPr>
          <w:rFonts w:ascii="Verdana" w:hAnsi="Verdana"/>
          <w:b/>
        </w:rPr>
        <w:t xml:space="preserve">                                   </w:t>
      </w:r>
    </w:p>
    <w:p w:rsidR="00CD19C3" w:rsidRPr="00EC06FB" w:rsidRDefault="003D172D" w:rsidP="00FE0A34">
      <w:pPr>
        <w:pStyle w:val="a7"/>
        <w:rPr>
          <w:rFonts w:ascii="Verdana" w:hAnsi="Verdana"/>
          <w:b/>
        </w:rPr>
      </w:pPr>
      <w:r w:rsidRPr="00EC06FB">
        <w:rPr>
          <w:rFonts w:ascii="Verdana" w:hAnsi="Verdana"/>
          <w:b/>
        </w:rPr>
        <w:t xml:space="preserve">                 </w:t>
      </w:r>
    </w:p>
    <w:p w:rsidR="003D172D" w:rsidRPr="00EC06FB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 w:rsidRPr="00EC06FB">
        <w:rPr>
          <w:rFonts w:ascii="Verdana" w:hAnsi="Verdana"/>
          <w:b/>
        </w:rPr>
        <w:t xml:space="preserve">                                                </w:t>
      </w:r>
      <w:r w:rsidRPr="00EC06FB">
        <w:rPr>
          <w:rFonts w:ascii="Verdana" w:hAnsi="Verdana"/>
          <w:b/>
          <w:sz w:val="28"/>
          <w:szCs w:val="28"/>
        </w:rPr>
        <w:t>Р Е Ш И Х</w:t>
      </w:r>
    </w:p>
    <w:p w:rsidR="003D172D" w:rsidRPr="00EC06FB" w:rsidRDefault="003D172D" w:rsidP="00FE0A34">
      <w:pPr>
        <w:pStyle w:val="a7"/>
        <w:rPr>
          <w:rFonts w:ascii="Verdana" w:hAnsi="Verdana"/>
          <w:b/>
        </w:rPr>
      </w:pPr>
    </w:p>
    <w:p w:rsidR="003D172D" w:rsidRPr="00EC06FB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EC06FB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EC06FB">
        <w:rPr>
          <w:rFonts w:ascii="Verdana" w:hAnsi="Verdana"/>
          <w:b/>
          <w:u w:val="single"/>
        </w:rPr>
        <w:t>да не се извършва</w:t>
      </w:r>
      <w:r w:rsidRPr="00EC06FB">
        <w:rPr>
          <w:rFonts w:ascii="Verdana" w:hAnsi="Verdana"/>
          <w:b/>
        </w:rPr>
        <w:t xml:space="preserve"> </w:t>
      </w:r>
      <w:r w:rsidRPr="00EC06FB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EC06FB" w:rsidRDefault="003D172D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EC06FB">
        <w:rPr>
          <w:rFonts w:ascii="Verdana" w:hAnsi="Verdana"/>
          <w:b/>
          <w:bCs/>
          <w:lang w:val="bg-BG"/>
        </w:rPr>
        <w:t>инвестиционно предложение</w:t>
      </w:r>
      <w:r w:rsidRPr="00EC06FB">
        <w:rPr>
          <w:rFonts w:ascii="Verdana" w:hAnsi="Verdana"/>
          <w:lang w:val="bg-BG"/>
        </w:rPr>
        <w:t xml:space="preserve">: </w:t>
      </w:r>
      <w:r w:rsidR="00AC15F8" w:rsidRPr="00EC06FB">
        <w:rPr>
          <w:rFonts w:ascii="Verdana" w:hAnsi="Verdana"/>
          <w:lang w:val="bg-BG"/>
        </w:rPr>
        <w:t>„</w:t>
      </w:r>
      <w:r w:rsidR="0098779A" w:rsidRPr="00EC06FB">
        <w:rPr>
          <w:rFonts w:ascii="Verdana" w:hAnsi="Verdana"/>
          <w:b/>
          <w:lang w:val="bg-BG"/>
        </w:rPr>
        <w:t>«Изграждане на нова сграда за автоматична машина за леене на алуминиеви отливки до съществуващ цех за алуминиеви отливки»</w:t>
      </w:r>
      <w:r w:rsidRPr="00EC06FB">
        <w:rPr>
          <w:rFonts w:ascii="Verdana" w:hAnsi="Verdana"/>
          <w:b/>
          <w:lang w:val="bg-BG"/>
        </w:rPr>
        <w:t>,</w:t>
      </w:r>
      <w:r w:rsidR="00E86DE1" w:rsidRPr="00EC06FB">
        <w:rPr>
          <w:rFonts w:ascii="Verdana" w:hAnsi="Verdana"/>
          <w:b/>
          <w:lang w:val="bg-BG"/>
        </w:rPr>
        <w:t xml:space="preserve"> </w:t>
      </w:r>
      <w:r w:rsidRPr="00EC06FB">
        <w:rPr>
          <w:rFonts w:ascii="Verdana" w:hAnsi="Verdana"/>
          <w:lang w:val="bg-BG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86DE1" w:rsidRPr="00EC06FB" w:rsidRDefault="003D172D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b/>
          <w:lang w:val="bg-BG"/>
        </w:rPr>
        <w:t>Местоположение:</w:t>
      </w:r>
      <w:r w:rsidR="00BD7D3F" w:rsidRPr="00EC06FB">
        <w:rPr>
          <w:rFonts w:ascii="Verdana" w:hAnsi="Verdana"/>
          <w:b/>
          <w:lang w:val="bg-BG"/>
        </w:rPr>
        <w:t xml:space="preserve"> </w:t>
      </w:r>
      <w:r w:rsidR="0098779A" w:rsidRPr="00EC06FB">
        <w:rPr>
          <w:rFonts w:ascii="Verdana" w:hAnsi="Verdana"/>
          <w:lang w:val="bg-BG"/>
        </w:rPr>
        <w:t>в имот № 56784.539.467, ЮИПЗ на гр.Пловдив</w:t>
      </w:r>
    </w:p>
    <w:p w:rsidR="0098779A" w:rsidRPr="00EC06FB" w:rsidRDefault="003D172D" w:rsidP="0098779A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noProof/>
          <w:lang w:val="bg-BG"/>
        </w:rPr>
      </w:pPr>
      <w:r w:rsidRPr="00EC06FB">
        <w:rPr>
          <w:rFonts w:ascii="Verdana" w:hAnsi="Verdana"/>
          <w:lang w:val="bg-BG"/>
        </w:rPr>
        <w:t xml:space="preserve">Възложител: </w:t>
      </w:r>
      <w:r w:rsidR="0098779A" w:rsidRPr="00EC06FB">
        <w:rPr>
          <w:rFonts w:ascii="Verdana" w:hAnsi="Verdana"/>
          <w:b/>
          <w:bCs/>
          <w:noProof/>
          <w:lang w:val="bg-BG"/>
        </w:rPr>
        <w:t xml:space="preserve">„ЛАКИ 131“ ООД, </w:t>
      </w:r>
      <w:r w:rsidR="00E3207F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3C4FEA" w:rsidRPr="00EC06FB" w:rsidRDefault="003C4FEA" w:rsidP="003C4FEA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</w:p>
    <w:p w:rsidR="003D172D" w:rsidRPr="00EC06FB" w:rsidRDefault="003D172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EC06FB">
        <w:rPr>
          <w:rFonts w:ascii="Verdana" w:hAnsi="Verdana"/>
          <w:b/>
          <w:lang w:val="bg-BG"/>
        </w:rPr>
        <w:t>Характеристика на инвестиционното предложение:</w:t>
      </w:r>
    </w:p>
    <w:p w:rsidR="006351C0" w:rsidRPr="00EC06FB" w:rsidRDefault="006351C0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6351C0" w:rsidRPr="00EC06FB" w:rsidRDefault="00AF313C" w:rsidP="006351C0">
      <w:pPr>
        <w:pStyle w:val="af0"/>
        <w:ind w:left="0"/>
        <w:jc w:val="both"/>
        <w:rPr>
          <w:rFonts w:ascii="Verdana" w:hAnsi="Verdana"/>
          <w:szCs w:val="20"/>
        </w:rPr>
      </w:pPr>
      <w:r w:rsidRPr="00EC06FB">
        <w:rPr>
          <w:rFonts w:ascii="Verdana" w:hAnsi="Verdana"/>
          <w:szCs w:val="20"/>
        </w:rPr>
        <w:t>Инвестиционното намерение</w:t>
      </w:r>
      <w:r w:rsidR="0021121E" w:rsidRPr="00EC06FB">
        <w:rPr>
          <w:rFonts w:ascii="Verdana" w:hAnsi="Verdana"/>
          <w:szCs w:val="20"/>
        </w:rPr>
        <w:t xml:space="preserve"> включва </w:t>
      </w:r>
      <w:r w:rsidRPr="00EC06FB">
        <w:rPr>
          <w:rFonts w:ascii="Verdana" w:hAnsi="Verdana"/>
          <w:szCs w:val="20"/>
        </w:rPr>
        <w:t>изграждане</w:t>
      </w:r>
      <w:r w:rsidR="0021121E" w:rsidRPr="00EC06FB">
        <w:rPr>
          <w:rFonts w:ascii="Verdana" w:hAnsi="Verdana"/>
          <w:szCs w:val="20"/>
        </w:rPr>
        <w:t xml:space="preserve">то </w:t>
      </w:r>
      <w:r w:rsidRPr="00EC06FB">
        <w:rPr>
          <w:rFonts w:ascii="Verdana" w:hAnsi="Verdana"/>
          <w:szCs w:val="20"/>
        </w:rPr>
        <w:t xml:space="preserve"> на нова сграда, в която ще бъде доставена, монтирана и въведена в експлоатация автоматична машина за леене на алуминиеви отливки, лимитирана от съществуващия цех за алуминиеви отливки, собственост на  фирма „Лаки 131“ ООД гр.  Пловдив, разположен в същия поземлен имот. За производството на алуминиеви отливки в момента преобладава леенето под налягане. Общата тенденция на фирмата за постигане на пълна автоматизация и контрол на процеса се запазва с допълването на производството с машина IDRA 900 за леене на алуминиеви отливки.</w:t>
      </w:r>
      <w:r w:rsidR="006351C0" w:rsidRPr="00EC06FB">
        <w:t xml:space="preserve"> </w:t>
      </w:r>
      <w:r w:rsidR="006351C0" w:rsidRPr="00EC06FB">
        <w:rPr>
          <w:rFonts w:ascii="Verdana" w:hAnsi="Verdana"/>
          <w:szCs w:val="20"/>
        </w:rPr>
        <w:t xml:space="preserve">Общият капацитет на машината по спецификация е леене на 54,5т./год. алуминиева сплав. Основните процеси са: топене на алуминиева сплав в съпротивителна пещ, след което автоматична ръка налива определено количество от стопилката в машината, която чрез бутало избутва метала във форма, където изстиналия метал приема исканата конфигурация на детайлите. </w:t>
      </w:r>
    </w:p>
    <w:p w:rsidR="003D172D" w:rsidRPr="00EC06FB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EC06FB">
        <w:rPr>
          <w:rFonts w:ascii="Verdana" w:hAnsi="Verdana"/>
          <w:szCs w:val="20"/>
        </w:rPr>
        <w:t xml:space="preserve">Инвестиционното предложение /ИП/ </w:t>
      </w:r>
      <w:r w:rsidR="002E55CA" w:rsidRPr="00EC06FB">
        <w:rPr>
          <w:rFonts w:ascii="Verdana" w:hAnsi="Verdana"/>
          <w:szCs w:val="20"/>
        </w:rPr>
        <w:t xml:space="preserve">е разширение на съществуващо производство, което самостоятелно </w:t>
      </w:r>
      <w:r w:rsidRPr="00EC06FB">
        <w:rPr>
          <w:rFonts w:ascii="Verdana" w:hAnsi="Verdana"/>
          <w:szCs w:val="20"/>
        </w:rPr>
        <w:t>попада в обхвата на т.</w:t>
      </w:r>
      <w:r w:rsidR="0033041A" w:rsidRPr="00EC06FB">
        <w:rPr>
          <w:rFonts w:ascii="Verdana" w:hAnsi="Verdana"/>
          <w:szCs w:val="20"/>
        </w:rPr>
        <w:t>4</w:t>
      </w:r>
      <w:r w:rsidRPr="00EC06FB">
        <w:rPr>
          <w:rFonts w:ascii="Verdana" w:hAnsi="Verdana"/>
          <w:szCs w:val="20"/>
        </w:rPr>
        <w:t xml:space="preserve">, буква “г“ от Приложение № 2 на Закона за опазване на околната среда /ДВ.бр.91 /2002 год./ и чл.2, ал.1, т. 1 от Наредбата за ОС. </w:t>
      </w:r>
      <w:r w:rsidR="006351C0" w:rsidRPr="00EC06FB">
        <w:rPr>
          <w:rFonts w:ascii="Verdana" w:hAnsi="Verdana"/>
          <w:szCs w:val="20"/>
        </w:rPr>
        <w:t>Съгласно разпоредбата на чл. 93</w:t>
      </w:r>
      <w:r w:rsidR="00F0001F" w:rsidRPr="00EC06FB">
        <w:rPr>
          <w:rFonts w:ascii="Verdana" w:hAnsi="Verdana"/>
          <w:szCs w:val="20"/>
        </w:rPr>
        <w:t>, ал.1</w:t>
      </w:r>
      <w:r w:rsidR="002E55CA" w:rsidRPr="00EC06FB">
        <w:rPr>
          <w:rFonts w:ascii="Verdana" w:hAnsi="Verdana"/>
          <w:szCs w:val="20"/>
        </w:rPr>
        <w:t>, т.1</w:t>
      </w:r>
      <w:r w:rsidR="00F0001F" w:rsidRPr="00EC06FB">
        <w:rPr>
          <w:rFonts w:ascii="Verdana" w:hAnsi="Verdana"/>
          <w:szCs w:val="20"/>
        </w:rPr>
        <w:t xml:space="preserve"> от ЗООС ИП подлежи на процедура по преценяване на необходимостта от извършване на ОВОС</w:t>
      </w:r>
      <w:r w:rsidR="006351C0" w:rsidRPr="00EC06FB">
        <w:rPr>
          <w:rFonts w:ascii="Verdana" w:hAnsi="Verdana"/>
          <w:szCs w:val="20"/>
        </w:rPr>
        <w:t>.</w:t>
      </w:r>
    </w:p>
    <w:p w:rsidR="0098779A" w:rsidRPr="00EC06FB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 xml:space="preserve">Имотът, в който ще се развива инвестиционното предложение </w:t>
      </w:r>
      <w:r w:rsidRPr="00EC06FB">
        <w:rPr>
          <w:rFonts w:ascii="Verdana" w:hAnsi="Verdana"/>
          <w:b/>
          <w:lang w:val="bg-BG"/>
        </w:rPr>
        <w:t>не попада</w:t>
      </w:r>
      <w:r w:rsidRPr="00EC06FB">
        <w:rPr>
          <w:rFonts w:ascii="Verdana" w:hAnsi="Verdana"/>
          <w:lang w:val="bg-BG"/>
        </w:rPr>
        <w:t xml:space="preserve"> в границите на защитени зони от мрежата „Натура 2000” и в защитени територии, </w:t>
      </w:r>
      <w:r w:rsidRPr="00EC06FB">
        <w:rPr>
          <w:rFonts w:ascii="Verdana" w:hAnsi="Verdana"/>
          <w:lang w:val="bg-BG"/>
        </w:rPr>
        <w:lastRenderedPageBreak/>
        <w:t>съгласно Закона за защитените територии. Най-близката защитена зона е BG000</w:t>
      </w:r>
      <w:r w:rsidR="00797DDB" w:rsidRPr="00EC06FB">
        <w:rPr>
          <w:rFonts w:ascii="Verdana" w:hAnsi="Verdana"/>
          <w:lang w:val="bg-BG"/>
        </w:rPr>
        <w:t>0</w:t>
      </w:r>
      <w:r w:rsidR="0033041A" w:rsidRPr="00EC06FB">
        <w:rPr>
          <w:rFonts w:ascii="Verdana" w:hAnsi="Verdana"/>
          <w:lang w:val="bg-BG"/>
        </w:rPr>
        <w:t>578</w:t>
      </w:r>
      <w:r w:rsidRPr="00EC06FB">
        <w:rPr>
          <w:rFonts w:ascii="Verdana" w:hAnsi="Verdana"/>
          <w:lang w:val="bg-BG"/>
        </w:rPr>
        <w:t xml:space="preserve"> „</w:t>
      </w:r>
      <w:r w:rsidR="00797DDB" w:rsidRPr="00EC06FB">
        <w:rPr>
          <w:rFonts w:ascii="Verdana" w:hAnsi="Verdana"/>
          <w:lang w:val="bg-BG"/>
        </w:rPr>
        <w:t xml:space="preserve">Река </w:t>
      </w:r>
      <w:r w:rsidR="0033041A" w:rsidRPr="00EC06FB">
        <w:rPr>
          <w:rFonts w:ascii="Verdana" w:hAnsi="Verdana"/>
          <w:lang w:val="bg-BG"/>
        </w:rPr>
        <w:t>Марица</w:t>
      </w:r>
      <w:r w:rsidRPr="00EC06FB">
        <w:rPr>
          <w:rFonts w:ascii="Verdana" w:hAnsi="Verdana"/>
          <w:lang w:val="bg-BG"/>
        </w:rPr>
        <w:t>” за опазване на природните местообитания и на дивата флора и фауна, приета от МС с Решение № 122/02.03.2007г.</w:t>
      </w:r>
      <w:r w:rsidR="007316B2" w:rsidRPr="00EC06FB">
        <w:rPr>
          <w:rFonts w:ascii="Verdana" w:hAnsi="Verdana"/>
          <w:lang w:val="bg-BG"/>
        </w:rPr>
        <w:t xml:space="preserve"> </w:t>
      </w:r>
      <w:r w:rsidRPr="00EC06FB">
        <w:rPr>
          <w:rFonts w:ascii="Verdana" w:hAnsi="Verdana"/>
          <w:lang w:val="bg-BG"/>
        </w:rPr>
        <w:t xml:space="preserve">(ДВ бр.21/2007г.). </w:t>
      </w:r>
    </w:p>
    <w:p w:rsidR="0098779A" w:rsidRPr="00EC06FB" w:rsidRDefault="0098779A" w:rsidP="0098779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33041A" w:rsidRPr="00EC06FB">
        <w:rPr>
          <w:rFonts w:ascii="Verdana" w:hAnsi="Verdana"/>
          <w:lang w:val="bg-BG"/>
        </w:rPr>
        <w:t xml:space="preserve"> </w:t>
      </w:r>
      <w:r w:rsidRPr="00EC06FB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3D172D" w:rsidRPr="00EC06FB" w:rsidRDefault="0098779A" w:rsidP="00F0001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aps/>
          <w:lang w:val="bg-BG"/>
        </w:rPr>
      </w:pPr>
      <w:r w:rsidRPr="00EC06FB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F0001F" w:rsidRPr="00EC06FB">
        <w:rPr>
          <w:rFonts w:ascii="Verdana" w:hAnsi="Verdana"/>
          <w:lang w:val="bg-BG"/>
        </w:rPr>
        <w:t>ата</w:t>
      </w:r>
      <w:r w:rsidRPr="00EC06FB">
        <w:rPr>
          <w:rFonts w:ascii="Verdana" w:hAnsi="Verdana"/>
          <w:lang w:val="bg-BG"/>
        </w:rPr>
        <w:t xml:space="preserve"> зон</w:t>
      </w:r>
      <w:r w:rsidR="00F0001F" w:rsidRPr="00EC06FB">
        <w:rPr>
          <w:rFonts w:ascii="Verdana" w:hAnsi="Verdana"/>
          <w:lang w:val="bg-BG"/>
        </w:rPr>
        <w:t xml:space="preserve">а. </w:t>
      </w:r>
    </w:p>
    <w:p w:rsidR="002E4D4C" w:rsidRPr="00EC06FB" w:rsidRDefault="002E4D4C" w:rsidP="00FE0A34">
      <w:pPr>
        <w:pStyle w:val="a7"/>
        <w:rPr>
          <w:rFonts w:ascii="Verdana" w:hAnsi="Verdana"/>
          <w:caps/>
        </w:rPr>
      </w:pPr>
    </w:p>
    <w:p w:rsidR="003D172D" w:rsidRPr="00EC06FB" w:rsidRDefault="003D172D" w:rsidP="00FE0A34">
      <w:pPr>
        <w:pStyle w:val="a7"/>
        <w:rPr>
          <w:rFonts w:ascii="Verdana" w:hAnsi="Verdana"/>
          <w:caps/>
        </w:rPr>
      </w:pPr>
      <w:r w:rsidRPr="00EC06FB">
        <w:rPr>
          <w:rFonts w:ascii="Verdana" w:hAnsi="Verdana"/>
          <w:caps/>
        </w:rPr>
        <w:t xml:space="preserve">                                            </w:t>
      </w:r>
    </w:p>
    <w:p w:rsidR="0021121E" w:rsidRPr="00EC06FB" w:rsidRDefault="0021121E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EC06FB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EC06FB">
        <w:rPr>
          <w:rFonts w:ascii="Verdana" w:hAnsi="Verdana"/>
          <w:b/>
          <w:caps/>
        </w:rPr>
        <w:t>мотиви:</w:t>
      </w:r>
    </w:p>
    <w:p w:rsidR="0021121E" w:rsidRPr="00EC06FB" w:rsidRDefault="0021121E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EC06FB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EC06F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C06FB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EC06FB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EC06FB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F0001F" w:rsidRPr="00EC06FB" w:rsidRDefault="00F0001F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>Изграждането на нова</w:t>
      </w:r>
      <w:r w:rsidR="0021121E" w:rsidRPr="00EC06FB">
        <w:rPr>
          <w:rFonts w:ascii="Verdana" w:hAnsi="Verdana"/>
          <w:sz w:val="20"/>
          <w:szCs w:val="20"/>
          <w:lang w:val="bg-BG"/>
        </w:rPr>
        <w:t>та</w:t>
      </w:r>
      <w:r w:rsidRPr="00EC06FB">
        <w:rPr>
          <w:rFonts w:ascii="Verdana" w:hAnsi="Verdana"/>
          <w:sz w:val="20"/>
          <w:szCs w:val="20"/>
          <w:lang w:val="bg-BG"/>
        </w:rPr>
        <w:t xml:space="preserve"> сграда ще бъде осъществено до съществуваща сграда - цех за алуминиеви отливки. Същата ще бъде изпълнена със стоманена конструкция, фасадни и покривни панели PVR - 6см. Предвидената общата площ на застрояване е</w:t>
      </w:r>
      <w:r w:rsidR="002C0C06" w:rsidRPr="00EC06FB">
        <w:rPr>
          <w:rFonts w:ascii="Verdana" w:hAnsi="Verdana"/>
          <w:sz w:val="20"/>
          <w:szCs w:val="20"/>
          <w:lang w:val="bg-BG"/>
        </w:rPr>
        <w:t xml:space="preserve"> </w:t>
      </w:r>
      <w:r w:rsidRPr="00EC06FB">
        <w:rPr>
          <w:rFonts w:ascii="Verdana" w:hAnsi="Verdana"/>
          <w:sz w:val="20"/>
          <w:szCs w:val="20"/>
          <w:lang w:val="bg-BG"/>
        </w:rPr>
        <w:t xml:space="preserve"> 167</w:t>
      </w:r>
      <w:r w:rsidR="0021121E" w:rsidRPr="00EC06FB">
        <w:rPr>
          <w:rFonts w:ascii="Verdana" w:hAnsi="Verdana"/>
          <w:sz w:val="20"/>
          <w:szCs w:val="20"/>
          <w:lang w:val="bg-BG"/>
        </w:rPr>
        <w:t xml:space="preserve"> </w:t>
      </w:r>
      <w:r w:rsidRPr="00EC06FB">
        <w:rPr>
          <w:rFonts w:ascii="Verdana" w:hAnsi="Verdana"/>
          <w:sz w:val="20"/>
          <w:szCs w:val="20"/>
          <w:lang w:val="bg-BG"/>
        </w:rPr>
        <w:t>кв.м.</w:t>
      </w:r>
      <w:r w:rsidR="00EA4432" w:rsidRPr="00EC06FB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EA4432" w:rsidRPr="00EC06FB">
        <w:rPr>
          <w:rFonts w:ascii="Verdana" w:hAnsi="Verdana"/>
          <w:sz w:val="20"/>
          <w:szCs w:val="20"/>
          <w:lang w:val="bg-BG"/>
        </w:rPr>
        <w:t>Строителството ще се основава на съвременна архитектура, смесена система от стоманобетонни и стоманени конструктивни елементи – изявени напречни стоманени рамки, носещи двоен „гръбнак”, разтварящ се и падащ към късата страна на елипсата.</w:t>
      </w:r>
    </w:p>
    <w:p w:rsidR="002C0C06" w:rsidRPr="00EC06FB" w:rsidRDefault="00BD7D3F" w:rsidP="00BD7D3F">
      <w:pPr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sz w:val="16"/>
          <w:szCs w:val="16"/>
          <w:lang w:val="bg-BG"/>
        </w:rPr>
        <w:t>●</w:t>
      </w:r>
      <w:r w:rsidRPr="00EC06FB">
        <w:rPr>
          <w:rFonts w:ascii="Verdana" w:hAnsi="Verdana"/>
          <w:lang w:val="bg-BG"/>
        </w:rPr>
        <w:tab/>
      </w:r>
      <w:r w:rsidR="00BE5DE4" w:rsidRPr="00EC06FB">
        <w:rPr>
          <w:rFonts w:ascii="Verdana" w:hAnsi="Verdana"/>
          <w:lang w:val="bg-BG"/>
        </w:rPr>
        <w:t>Водо</w:t>
      </w:r>
      <w:r w:rsidR="0021121E" w:rsidRPr="00EC06FB">
        <w:rPr>
          <w:rFonts w:ascii="Verdana" w:hAnsi="Verdana"/>
          <w:lang w:val="bg-BG"/>
        </w:rPr>
        <w:t>снабдяването на бъдещия обект</w:t>
      </w:r>
      <w:r w:rsidR="00BE5DE4" w:rsidRPr="00EC06FB">
        <w:rPr>
          <w:rFonts w:ascii="Verdana" w:hAnsi="Verdana"/>
          <w:lang w:val="bg-BG"/>
        </w:rPr>
        <w:t xml:space="preserve"> ще бъде осъществено от съществуващ тръбен кладенец с Разрешително №31530270/02.07.2012г. за </w:t>
      </w:r>
      <w:proofErr w:type="spellStart"/>
      <w:r w:rsidR="00BE5DE4" w:rsidRPr="00EC06FB">
        <w:rPr>
          <w:rFonts w:ascii="Verdana" w:hAnsi="Verdana"/>
          <w:lang w:val="bg-BG"/>
        </w:rPr>
        <w:t>водовземане</w:t>
      </w:r>
      <w:proofErr w:type="spellEnd"/>
      <w:r w:rsidR="00BE5DE4" w:rsidRPr="00EC06FB">
        <w:rPr>
          <w:rFonts w:ascii="Verdana" w:hAnsi="Verdana"/>
          <w:lang w:val="bg-BG"/>
        </w:rPr>
        <w:t xml:space="preserve"> от подземни води. </w:t>
      </w:r>
      <w:r w:rsidR="002C0C06" w:rsidRPr="00EC06FB">
        <w:rPr>
          <w:rFonts w:ascii="Verdana" w:hAnsi="Verdana"/>
          <w:lang w:val="bg-BG"/>
        </w:rPr>
        <w:t>Машината е оборудвана с високотехнологични и икономични водни охладители, позволяващи да се работи с минимално количество вода.</w:t>
      </w:r>
    </w:p>
    <w:p w:rsidR="00BE5DE4" w:rsidRPr="00EC06FB" w:rsidRDefault="00F33C60" w:rsidP="002C0C06">
      <w:pPr>
        <w:pStyle w:val="af8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Предвид характера на производството</w:t>
      </w:r>
      <w:r w:rsidR="0021121E" w:rsidRPr="00EC06FB">
        <w:rPr>
          <w:rFonts w:ascii="Verdana" w:hAnsi="Verdana"/>
          <w:lang w:val="bg-BG"/>
        </w:rPr>
        <w:t>,</w:t>
      </w:r>
      <w:r w:rsidRPr="00EC06FB">
        <w:rPr>
          <w:rFonts w:ascii="Verdana" w:hAnsi="Verdana"/>
          <w:lang w:val="bg-BG"/>
        </w:rPr>
        <w:t xml:space="preserve"> </w:t>
      </w:r>
      <w:r w:rsidR="002C0C06" w:rsidRPr="00EC06FB">
        <w:rPr>
          <w:rFonts w:ascii="Verdana" w:hAnsi="Verdana"/>
          <w:lang w:val="bg-BG"/>
        </w:rPr>
        <w:t xml:space="preserve">ИП предвижда всички </w:t>
      </w:r>
      <w:proofErr w:type="spellStart"/>
      <w:r w:rsidR="002C0C06" w:rsidRPr="00EC06FB">
        <w:rPr>
          <w:rFonts w:ascii="Verdana" w:hAnsi="Verdana"/>
          <w:lang w:val="bg-BG"/>
        </w:rPr>
        <w:t>зауствани</w:t>
      </w:r>
      <w:proofErr w:type="spellEnd"/>
      <w:r w:rsidR="002C0C06" w:rsidRPr="00EC06FB">
        <w:rPr>
          <w:rFonts w:ascii="Verdana" w:hAnsi="Verdana"/>
          <w:lang w:val="bg-BG"/>
        </w:rPr>
        <w:t xml:space="preserve"> води в градската канализационна мрежа да отговарят на нормативните изисквания</w:t>
      </w:r>
      <w:r w:rsidR="00884818" w:rsidRPr="00EC06FB">
        <w:rPr>
          <w:rFonts w:ascii="Verdana" w:hAnsi="Verdana"/>
          <w:lang w:val="bg-BG"/>
        </w:rPr>
        <w:t xml:space="preserve">. </w:t>
      </w:r>
    </w:p>
    <w:p w:rsidR="00BE5DE4" w:rsidRPr="00EC06FB" w:rsidRDefault="00EA4432" w:rsidP="00BE5DE4">
      <w:pPr>
        <w:pStyle w:val="af8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Във връзка с ограничаване вредното въздействие на отпадъците по време на строителство и експлоатация се предвижда ефективен контрол и законосъобразно управление - събиране и своевременното им извозване</w:t>
      </w:r>
      <w:r w:rsidR="0021121E" w:rsidRPr="00EC06FB">
        <w:rPr>
          <w:rFonts w:ascii="Verdana" w:hAnsi="Verdana"/>
          <w:lang w:val="bg-BG"/>
        </w:rPr>
        <w:t xml:space="preserve">. </w:t>
      </w:r>
      <w:r w:rsidR="00BE5DE4" w:rsidRPr="00EC06FB">
        <w:rPr>
          <w:rFonts w:ascii="Verdana" w:hAnsi="Verdana"/>
          <w:lang w:val="bg-BG"/>
        </w:rPr>
        <w:t xml:space="preserve">Битовите отпадъци ще се събират в контейнери и ще бъдат транспортирани до съответните съоръжения за третиране на отпадъци „Регионално депо за не опасни отпадъци в землище на с. Цалапица“ и/или „Депо за неопасни отпадъци и инсталация за биологично разграждане по закрит способ“ с. Шишманци, съгласно изградената от общината схема за сметосъбиране и </w:t>
      </w:r>
      <w:proofErr w:type="spellStart"/>
      <w:r w:rsidR="00BE5DE4" w:rsidRPr="00EC06FB">
        <w:rPr>
          <w:rFonts w:ascii="Verdana" w:hAnsi="Verdana"/>
          <w:lang w:val="bg-BG"/>
        </w:rPr>
        <w:t>сметоизвозване</w:t>
      </w:r>
      <w:proofErr w:type="spellEnd"/>
      <w:r w:rsidR="0021121E" w:rsidRPr="00EC06FB">
        <w:rPr>
          <w:rFonts w:ascii="Verdana" w:hAnsi="Verdana"/>
          <w:lang w:val="bg-BG"/>
        </w:rPr>
        <w:t>.</w:t>
      </w:r>
      <w:r w:rsidR="00BE5DE4" w:rsidRPr="00EC06FB">
        <w:rPr>
          <w:rFonts w:ascii="Verdana" w:hAnsi="Verdana"/>
          <w:lang w:val="bg-BG"/>
        </w:rPr>
        <w:t xml:space="preserve"> Минималното количество генерирани строителни отпадъци  ще се транспортират от фирма притежаваща разрешително, съгласно действащите разпоредби на ЗУО.</w:t>
      </w:r>
    </w:p>
    <w:p w:rsidR="00BD7D3F" w:rsidRPr="00EC06FB" w:rsidRDefault="00BE5DE4" w:rsidP="00BE5DE4">
      <w:pPr>
        <w:pStyle w:val="af8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За дейността няма да бъде необходимо изграждането на  допълнителна инфраструктура</w:t>
      </w:r>
      <w:r w:rsidR="00884818" w:rsidRPr="00EC06FB">
        <w:rPr>
          <w:rFonts w:ascii="Verdana" w:hAnsi="Verdana"/>
          <w:lang w:val="bg-BG"/>
        </w:rPr>
        <w:t xml:space="preserve">, тъй като </w:t>
      </w:r>
      <w:r w:rsidR="00EA4432" w:rsidRPr="00EC06FB">
        <w:rPr>
          <w:rFonts w:ascii="Verdana" w:hAnsi="Verdana"/>
          <w:lang w:val="bg-BG"/>
        </w:rPr>
        <w:t>обектът ще се обособи в съществуваща индустриална зона с реализирани комуникации.</w:t>
      </w:r>
      <w:r w:rsidR="00BD7D3F" w:rsidRPr="00EC06FB">
        <w:rPr>
          <w:rFonts w:ascii="Verdana" w:hAnsi="Verdana"/>
          <w:lang w:val="bg-BG"/>
        </w:rPr>
        <w:t xml:space="preserve"> </w:t>
      </w:r>
    </w:p>
    <w:p w:rsidR="002C0C06" w:rsidRPr="00EC06FB" w:rsidRDefault="00BD7D3F" w:rsidP="00BD7D3F">
      <w:pPr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sz w:val="16"/>
          <w:szCs w:val="16"/>
          <w:lang w:val="bg-BG"/>
        </w:rPr>
        <w:t>●</w:t>
      </w:r>
      <w:r w:rsidRPr="00EC06FB">
        <w:rPr>
          <w:rFonts w:ascii="Verdana" w:hAnsi="Verdana"/>
          <w:lang w:val="bg-BG"/>
        </w:rPr>
        <w:tab/>
        <w:t xml:space="preserve">В хода на експлоатация на обекта не се предполага значително замърсяване и дискомфорт на околната среда. </w:t>
      </w:r>
      <w:r w:rsidR="00884818" w:rsidRPr="00EC06FB">
        <w:rPr>
          <w:rFonts w:ascii="Verdana" w:hAnsi="Verdana"/>
          <w:lang w:val="bg-BG"/>
        </w:rPr>
        <w:t xml:space="preserve">При стартиране на експлоатацията на обекта са използвани 8 машини за леене, и всички разчети за използване на ресурси и емисии, фирмени програми и разрешителни документи са изчислени на тази база. През последните 3 години са използвани от 3 до 4 машини за леене. Т.е през време на експлоатация, след монтиране на </w:t>
      </w:r>
      <w:r w:rsidR="0021121E" w:rsidRPr="00EC06FB">
        <w:rPr>
          <w:rFonts w:ascii="Verdana" w:hAnsi="Verdana"/>
          <w:lang w:val="bg-BG"/>
        </w:rPr>
        <w:t xml:space="preserve"> новата </w:t>
      </w:r>
      <w:r w:rsidR="00884818" w:rsidRPr="00EC06FB">
        <w:rPr>
          <w:rFonts w:ascii="Verdana" w:hAnsi="Verdana"/>
          <w:lang w:val="bg-BG"/>
        </w:rPr>
        <w:t>автоматизираната машина за леене не се очаква наднормено замърсяване на въздуха, предвид резултатите до момента от извършвания собствен периодичен мониторинг и запазване на предвидените мощности.</w:t>
      </w:r>
    </w:p>
    <w:p w:rsidR="00BD7D3F" w:rsidRPr="00EC06FB" w:rsidRDefault="00BD7D3F" w:rsidP="00884818">
      <w:pPr>
        <w:pStyle w:val="af8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lastRenderedPageBreak/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A4432" w:rsidRPr="00EC06FB" w:rsidRDefault="00BD7D3F" w:rsidP="00EA4432">
      <w:pPr>
        <w:spacing w:line="240" w:lineRule="exact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sz w:val="16"/>
          <w:szCs w:val="16"/>
          <w:lang w:val="bg-BG"/>
        </w:rPr>
        <w:t>●</w:t>
      </w:r>
      <w:r w:rsidR="00EF2A8F" w:rsidRPr="00EC06FB">
        <w:rPr>
          <w:rFonts w:ascii="Verdana" w:hAnsi="Verdana"/>
          <w:sz w:val="16"/>
          <w:szCs w:val="16"/>
          <w:lang w:val="bg-BG"/>
        </w:rPr>
        <w:t xml:space="preserve"> </w:t>
      </w:r>
      <w:r w:rsidR="0021121E" w:rsidRPr="00EC06FB">
        <w:rPr>
          <w:rFonts w:ascii="Verdana" w:hAnsi="Verdana"/>
          <w:sz w:val="16"/>
          <w:szCs w:val="16"/>
          <w:lang w:val="bg-BG"/>
        </w:rPr>
        <w:t xml:space="preserve">    </w:t>
      </w:r>
      <w:r w:rsidR="00EA4432" w:rsidRPr="00EC06FB">
        <w:rPr>
          <w:rFonts w:ascii="Verdana" w:hAnsi="Verdana"/>
          <w:lang w:val="bg-BG"/>
        </w:rPr>
        <w:t xml:space="preserve">Всички машини и съоръжения ще се монтират съгласно инструкциите на производителя, с цел предотвратяване генерирането и разпространението на шум и вибрации. Вентилационните съоръжения ще бъдат </w:t>
      </w:r>
      <w:proofErr w:type="spellStart"/>
      <w:r w:rsidR="00EA4432" w:rsidRPr="00EC06FB">
        <w:rPr>
          <w:rFonts w:ascii="Verdana" w:hAnsi="Verdana"/>
          <w:lang w:val="bg-BG"/>
        </w:rPr>
        <w:t>комплектовани</w:t>
      </w:r>
      <w:proofErr w:type="spellEnd"/>
      <w:r w:rsidR="00EA4432" w:rsidRPr="00EC06FB">
        <w:rPr>
          <w:rFonts w:ascii="Verdana" w:hAnsi="Verdana"/>
          <w:lang w:val="bg-BG"/>
        </w:rPr>
        <w:t xml:space="preserve"> с маншети към </w:t>
      </w:r>
      <w:proofErr w:type="spellStart"/>
      <w:r w:rsidR="00EA4432" w:rsidRPr="00EC06FB">
        <w:rPr>
          <w:rFonts w:ascii="Verdana" w:hAnsi="Verdana"/>
          <w:lang w:val="bg-BG"/>
        </w:rPr>
        <w:t>въздуховодните</w:t>
      </w:r>
      <w:proofErr w:type="spellEnd"/>
      <w:r w:rsidR="00EA4432" w:rsidRPr="00EC06FB">
        <w:rPr>
          <w:rFonts w:ascii="Verdana" w:hAnsi="Verdana"/>
          <w:lang w:val="bg-BG"/>
        </w:rPr>
        <w:t xml:space="preserve"> инсталации и </w:t>
      </w:r>
      <w:proofErr w:type="spellStart"/>
      <w:r w:rsidR="00EA4432" w:rsidRPr="00EC06FB">
        <w:rPr>
          <w:rFonts w:ascii="Verdana" w:hAnsi="Verdana"/>
          <w:lang w:val="bg-BG"/>
        </w:rPr>
        <w:t>виброизолатори</w:t>
      </w:r>
      <w:proofErr w:type="spellEnd"/>
      <w:r w:rsidR="00EA4432" w:rsidRPr="00EC06FB">
        <w:rPr>
          <w:rFonts w:ascii="Verdana" w:hAnsi="Verdana"/>
          <w:lang w:val="bg-BG"/>
        </w:rPr>
        <w:t xml:space="preserve"> към монтажните конструкции.</w:t>
      </w:r>
      <w:r w:rsidR="00EF2A8F" w:rsidRPr="00EC06FB">
        <w:rPr>
          <w:rFonts w:ascii="Verdana" w:hAnsi="Verdana"/>
          <w:lang w:val="bg-BG"/>
        </w:rPr>
        <w:t xml:space="preserve"> </w:t>
      </w:r>
      <w:r w:rsidR="00EA4432" w:rsidRPr="00EC06FB">
        <w:rPr>
          <w:rFonts w:ascii="Verdana" w:hAnsi="Verdana"/>
          <w:lang w:val="bg-BG"/>
        </w:rPr>
        <w:t xml:space="preserve">След избор на доставчик (изпълнител) ще се предоставят шумови характеристики на вентилационните съоръжения, след което ще се </w:t>
      </w:r>
      <w:proofErr w:type="spellStart"/>
      <w:r w:rsidR="00EA4432" w:rsidRPr="00EC06FB">
        <w:rPr>
          <w:rFonts w:ascii="Verdana" w:hAnsi="Verdana"/>
          <w:lang w:val="bg-BG"/>
        </w:rPr>
        <w:t>прецезира</w:t>
      </w:r>
      <w:proofErr w:type="spellEnd"/>
      <w:r w:rsidR="00EA4432" w:rsidRPr="00EC06FB">
        <w:rPr>
          <w:rFonts w:ascii="Verdana" w:hAnsi="Verdana"/>
          <w:lang w:val="bg-BG"/>
        </w:rPr>
        <w:t xml:space="preserve"> необходимостта от допълнително шумозаглушаване.</w:t>
      </w:r>
    </w:p>
    <w:p w:rsidR="00EA4432" w:rsidRPr="00EC06FB" w:rsidRDefault="00EA4432" w:rsidP="00BD7D3F">
      <w:pPr>
        <w:spacing w:line="240" w:lineRule="exact"/>
        <w:jc w:val="both"/>
        <w:rPr>
          <w:rFonts w:ascii="Verdana" w:hAnsi="Verdana"/>
          <w:sz w:val="16"/>
          <w:szCs w:val="16"/>
          <w:lang w:val="bg-BG"/>
        </w:rPr>
      </w:pPr>
    </w:p>
    <w:p w:rsidR="00BD7D3F" w:rsidRPr="00EC06FB" w:rsidRDefault="00BD7D3F" w:rsidP="00EF2A8F">
      <w:pPr>
        <w:pStyle w:val="af8"/>
        <w:spacing w:line="240" w:lineRule="exact"/>
        <w:jc w:val="both"/>
        <w:rPr>
          <w:rFonts w:ascii="Verdana" w:hAnsi="Verdana"/>
          <w:lang w:val="bg-BG"/>
        </w:rPr>
      </w:pPr>
    </w:p>
    <w:p w:rsidR="003D172D" w:rsidRPr="00EC06FB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936B70" w:rsidRPr="00EC06FB" w:rsidRDefault="00EF2A8F" w:rsidP="00EF2A8F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 xml:space="preserve">Имот № 56784.539.467, ЮИПЗ на гр. Пловдив, в който ще се реализира инвестиционното намерение се намира на територията на гр. Пловдив, Югоизточна промишлена зона - </w:t>
      </w:r>
      <w:r w:rsidR="0021121E" w:rsidRPr="00EC06FB">
        <w:rPr>
          <w:rFonts w:ascii="Verdana" w:hAnsi="Verdana"/>
          <w:lang w:val="bg-BG"/>
        </w:rPr>
        <w:t>II</w:t>
      </w:r>
      <w:r w:rsidRPr="00EC06FB">
        <w:rPr>
          <w:rFonts w:ascii="Verdana" w:hAnsi="Verdana"/>
          <w:lang w:val="bg-BG"/>
        </w:rPr>
        <w:t xml:space="preserve"> част, У</w:t>
      </w:r>
      <w:r w:rsidR="0021121E" w:rsidRPr="00EC06FB">
        <w:rPr>
          <w:rFonts w:ascii="Verdana" w:hAnsi="Verdana"/>
          <w:lang w:val="bg-BG"/>
        </w:rPr>
        <w:t>ПИ</w:t>
      </w:r>
      <w:r w:rsidRPr="00EC06FB">
        <w:rPr>
          <w:rFonts w:ascii="Verdana" w:hAnsi="Verdana"/>
          <w:lang w:val="bg-BG"/>
        </w:rPr>
        <w:t xml:space="preserve"> - I - стопанска дейност от кв. 13, с адрес гр. Пловдив, ул. </w:t>
      </w:r>
      <w:proofErr w:type="spellStart"/>
      <w:r w:rsidRPr="00EC06FB">
        <w:rPr>
          <w:rFonts w:ascii="Verdana" w:hAnsi="Verdana"/>
          <w:lang w:val="bg-BG"/>
        </w:rPr>
        <w:t>Асеновградско</w:t>
      </w:r>
      <w:proofErr w:type="spellEnd"/>
      <w:r w:rsidRPr="00EC06FB">
        <w:rPr>
          <w:rFonts w:ascii="Verdana" w:hAnsi="Verdana"/>
          <w:lang w:val="bg-BG"/>
        </w:rPr>
        <w:t xml:space="preserve"> шосе" № 1.  Границите на урегулираният имот са: от изток, север и запад, асфалтови пътища обслужващи промишлената зона, а от юг - стопанска дейност. </w:t>
      </w:r>
    </w:p>
    <w:p w:rsidR="00EF2A8F" w:rsidRPr="00EC06FB" w:rsidRDefault="00EF2A8F" w:rsidP="00936B70">
      <w:pPr>
        <w:pStyle w:val="af8"/>
        <w:numPr>
          <w:ilvl w:val="0"/>
          <w:numId w:val="30"/>
        </w:numPr>
        <w:tabs>
          <w:tab w:val="left" w:pos="709"/>
        </w:tabs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Съществуващият ландшафт няма да бъде променен.</w:t>
      </w:r>
      <w:r w:rsidR="00936B70" w:rsidRPr="00EC06FB">
        <w:rPr>
          <w:lang w:val="bg-BG"/>
        </w:rPr>
        <w:t xml:space="preserve"> </w:t>
      </w:r>
      <w:r w:rsidR="00936B70" w:rsidRPr="00EC06FB">
        <w:rPr>
          <w:rFonts w:ascii="Verdana" w:hAnsi="Verdana"/>
          <w:lang w:val="bg-BG"/>
        </w:rPr>
        <w:t>Ще се предвиди озеленяване на площадката.</w:t>
      </w:r>
    </w:p>
    <w:p w:rsidR="003D172D" w:rsidRPr="00EC06FB" w:rsidRDefault="003D172D" w:rsidP="00195FFD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EC06FB" w:rsidRDefault="003D172D" w:rsidP="00413689">
      <w:pPr>
        <w:pStyle w:val="a7"/>
        <w:rPr>
          <w:rFonts w:ascii="Verdana" w:hAnsi="Verdana"/>
        </w:rPr>
      </w:pPr>
    </w:p>
    <w:p w:rsidR="003D172D" w:rsidRPr="00EC06FB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EC06FB">
        <w:rPr>
          <w:rFonts w:ascii="Verdana" w:hAnsi="Verdana"/>
          <w:sz w:val="20"/>
          <w:szCs w:val="20"/>
          <w:lang w:val="bg-BG"/>
        </w:rPr>
        <w:t>:</w:t>
      </w:r>
    </w:p>
    <w:p w:rsidR="00EF2A8F" w:rsidRPr="00EC06FB" w:rsidRDefault="00EF2A8F" w:rsidP="00195FF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EC06FB">
        <w:rPr>
          <w:rFonts w:ascii="Verdana" w:hAnsi="Verdana"/>
          <w:szCs w:val="20"/>
        </w:rPr>
        <w:t xml:space="preserve">Реализацията на инвестиционното предложение ще бъде  извън </w:t>
      </w:r>
      <w:r w:rsidR="00195FFD" w:rsidRPr="00EC06FB">
        <w:rPr>
          <w:rFonts w:ascii="Verdana" w:hAnsi="Verdana"/>
          <w:szCs w:val="20"/>
        </w:rPr>
        <w:t>територията</w:t>
      </w:r>
      <w:r w:rsidRPr="00EC06FB">
        <w:rPr>
          <w:rFonts w:ascii="Verdana" w:hAnsi="Verdana"/>
          <w:szCs w:val="20"/>
        </w:rPr>
        <w:t xml:space="preserve">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</w:t>
      </w:r>
      <w:r w:rsidR="00195FFD" w:rsidRPr="00EC06FB">
        <w:rPr>
          <w:rFonts w:ascii="Verdana" w:hAnsi="Verdana"/>
          <w:szCs w:val="20"/>
        </w:rPr>
        <w:t>, поради което не се очаква унищожаване, увреждане или влошаване състоянието на видове, предмет на опазване на най-близката защитена зона</w:t>
      </w:r>
      <w:r w:rsidRPr="00EC06FB">
        <w:rPr>
          <w:rFonts w:ascii="Verdana" w:hAnsi="Verdana"/>
          <w:szCs w:val="20"/>
        </w:rPr>
        <w:t>.</w:t>
      </w:r>
    </w:p>
    <w:p w:rsidR="00EF0AE6" w:rsidRPr="00EC06FB" w:rsidRDefault="00EF0AE6" w:rsidP="00EF0AE6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</w:t>
      </w:r>
      <w:r w:rsidR="0090780C" w:rsidRPr="00EC06FB">
        <w:rPr>
          <w:rFonts w:ascii="Verdana" w:hAnsi="Verdana"/>
          <w:sz w:val="20"/>
          <w:szCs w:val="20"/>
          <w:lang w:val="bg-BG"/>
        </w:rPr>
        <w:t xml:space="preserve">засяга и не се </w:t>
      </w:r>
      <w:r w:rsidRPr="00EC06FB">
        <w:rPr>
          <w:rFonts w:ascii="Verdana" w:hAnsi="Verdana"/>
          <w:sz w:val="20"/>
          <w:szCs w:val="20"/>
          <w:lang w:val="bg-BG"/>
        </w:rPr>
        <w:t>очаква</w:t>
      </w:r>
      <w:r w:rsidR="0090780C" w:rsidRPr="00EC06FB">
        <w:rPr>
          <w:rFonts w:ascii="Verdana" w:hAnsi="Verdana"/>
          <w:sz w:val="20"/>
          <w:szCs w:val="20"/>
          <w:lang w:val="bg-BG"/>
        </w:rPr>
        <w:t xml:space="preserve"> </w:t>
      </w:r>
      <w:r w:rsidRPr="00EC06FB">
        <w:rPr>
          <w:rFonts w:ascii="Verdana" w:hAnsi="Verdana"/>
          <w:sz w:val="20"/>
          <w:szCs w:val="20"/>
          <w:lang w:val="bg-BG"/>
        </w:rPr>
        <w:t xml:space="preserve">влошаване състоянието на предмета на опазване на най-близката защитена зона </w:t>
      </w:r>
      <w:r w:rsidR="0090780C" w:rsidRPr="00EC06FB">
        <w:rPr>
          <w:rFonts w:ascii="Verdana" w:hAnsi="Verdana"/>
          <w:sz w:val="20"/>
          <w:szCs w:val="20"/>
          <w:lang w:val="bg-BG"/>
        </w:rPr>
        <w:t>BG0000</w:t>
      </w:r>
      <w:r w:rsidR="0021121E" w:rsidRPr="00EC06FB">
        <w:rPr>
          <w:rFonts w:ascii="Verdana" w:hAnsi="Verdana"/>
          <w:sz w:val="20"/>
          <w:szCs w:val="20"/>
          <w:lang w:val="bg-BG"/>
        </w:rPr>
        <w:t>578</w:t>
      </w:r>
      <w:r w:rsidR="0090780C" w:rsidRPr="00EC06FB">
        <w:rPr>
          <w:rFonts w:ascii="Verdana" w:hAnsi="Verdana"/>
          <w:sz w:val="20"/>
          <w:szCs w:val="20"/>
          <w:lang w:val="bg-BG"/>
        </w:rPr>
        <w:t xml:space="preserve"> „Река </w:t>
      </w:r>
      <w:r w:rsidR="0021121E" w:rsidRPr="00EC06FB">
        <w:rPr>
          <w:rFonts w:ascii="Verdana" w:hAnsi="Verdana"/>
          <w:sz w:val="20"/>
          <w:szCs w:val="20"/>
          <w:lang w:val="bg-BG"/>
        </w:rPr>
        <w:t>Марица</w:t>
      </w:r>
      <w:r w:rsidRPr="00EC06FB">
        <w:rPr>
          <w:rFonts w:ascii="Verdana" w:hAnsi="Verdana"/>
          <w:sz w:val="20"/>
          <w:szCs w:val="20"/>
          <w:lang w:val="bg-BG"/>
        </w:rPr>
        <w:t>”.</w:t>
      </w:r>
    </w:p>
    <w:p w:rsidR="00195FFD" w:rsidRPr="00EC06FB" w:rsidRDefault="00195FFD" w:rsidP="00195FFD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От предвижданата дейност не се очаква генериране на емисии и отпадъци във вид и количества, които да окажат значително отрицателно въздействие върху предмета на опазване в защитената зона.</w:t>
      </w:r>
    </w:p>
    <w:p w:rsidR="00FD1E16" w:rsidRPr="00EC06FB" w:rsidRDefault="00FD1E16" w:rsidP="00195FFD">
      <w:pPr>
        <w:tabs>
          <w:tab w:val="num" w:pos="567"/>
        </w:tabs>
        <w:overflowPunct/>
        <w:autoSpaceDE/>
        <w:autoSpaceDN/>
        <w:adjustRightInd/>
        <w:ind w:hanging="1440"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EC06FB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EC06FB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EC06FB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EC06FB">
        <w:rPr>
          <w:rFonts w:ascii="Verdana" w:hAnsi="Verdana"/>
          <w:sz w:val="20"/>
          <w:szCs w:val="20"/>
          <w:lang w:val="bg-BG"/>
        </w:rPr>
        <w:t>:</w:t>
      </w:r>
    </w:p>
    <w:p w:rsidR="003D172D" w:rsidRPr="00EC06FB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EC06FB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EC06FB">
        <w:rPr>
          <w:rFonts w:ascii="Verdana" w:hAnsi="Verdana"/>
          <w:sz w:val="20"/>
          <w:szCs w:val="20"/>
          <w:lang w:val="bg-BG"/>
        </w:rPr>
        <w:t xml:space="preserve"> инвестиционното предложение </w:t>
      </w:r>
      <w:r w:rsidR="00F33C60" w:rsidRPr="00EC06FB">
        <w:rPr>
          <w:rFonts w:ascii="Verdana" w:hAnsi="Verdana"/>
          <w:sz w:val="20"/>
          <w:szCs w:val="20"/>
          <w:lang w:val="bg-BG"/>
        </w:rPr>
        <w:t>ще е</w:t>
      </w:r>
      <w:r w:rsidRPr="00EC06FB">
        <w:rPr>
          <w:rFonts w:ascii="Verdana" w:hAnsi="Verdana"/>
          <w:sz w:val="20"/>
          <w:szCs w:val="20"/>
          <w:lang w:val="bg-BG"/>
        </w:rPr>
        <w:t xml:space="preserve"> ограничен и</w:t>
      </w:r>
      <w:r w:rsidR="00F33C60" w:rsidRPr="00EC06FB">
        <w:rPr>
          <w:rFonts w:ascii="Verdana" w:hAnsi="Verdana"/>
          <w:sz w:val="20"/>
          <w:szCs w:val="20"/>
          <w:lang w:val="bg-BG"/>
        </w:rPr>
        <w:t xml:space="preserve"> в голяма степен </w:t>
      </w:r>
      <w:r w:rsidRPr="00EC06FB">
        <w:rPr>
          <w:rFonts w:ascii="Verdana" w:hAnsi="Verdana"/>
          <w:sz w:val="20"/>
          <w:szCs w:val="20"/>
          <w:lang w:val="bg-BG"/>
        </w:rPr>
        <w:t>локал</w:t>
      </w:r>
      <w:r w:rsidR="00F33C60" w:rsidRPr="00EC06FB">
        <w:rPr>
          <w:rFonts w:ascii="Verdana" w:hAnsi="Verdana"/>
          <w:sz w:val="20"/>
          <w:szCs w:val="20"/>
          <w:lang w:val="bg-BG"/>
        </w:rPr>
        <w:t xml:space="preserve">изиран </w:t>
      </w:r>
      <w:r w:rsidRPr="00EC06FB">
        <w:rPr>
          <w:rFonts w:ascii="Verdana" w:hAnsi="Verdana"/>
          <w:sz w:val="20"/>
          <w:szCs w:val="20"/>
          <w:lang w:val="bg-BG"/>
        </w:rPr>
        <w:t xml:space="preserve"> в рамките на площадката</w:t>
      </w:r>
      <w:r w:rsidR="00F33C60" w:rsidRPr="00EC06FB">
        <w:rPr>
          <w:rFonts w:ascii="Verdana" w:hAnsi="Verdana"/>
          <w:sz w:val="20"/>
          <w:szCs w:val="20"/>
          <w:lang w:val="bg-BG"/>
        </w:rPr>
        <w:t>, при което не се очаква изменение в степента на въздействие върху отделните компоненти на околната среда</w:t>
      </w:r>
      <w:r w:rsidRPr="00EC06FB">
        <w:rPr>
          <w:rFonts w:ascii="Verdana" w:hAnsi="Verdana"/>
          <w:sz w:val="20"/>
          <w:szCs w:val="20"/>
          <w:lang w:val="bg-BG"/>
        </w:rPr>
        <w:t>.</w:t>
      </w:r>
    </w:p>
    <w:p w:rsidR="003D172D" w:rsidRPr="00EC06FB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F33C60" w:rsidRPr="00EC06FB" w:rsidRDefault="00F33C60" w:rsidP="00F33C60">
      <w:pPr>
        <w:pStyle w:val="af8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 xml:space="preserve">Не се очаква отрицателно въздействие върху подземни или повърхностни  водни обекти, тъй като отпадъчните технологични води ще са минимални, ще се </w:t>
      </w:r>
      <w:r w:rsidRPr="00EC06FB">
        <w:rPr>
          <w:rFonts w:ascii="Verdana" w:hAnsi="Verdana"/>
          <w:lang w:val="bg-BG"/>
        </w:rPr>
        <w:lastRenderedPageBreak/>
        <w:t xml:space="preserve">формират вследствие охлаждането на машината и ще са с характер „условно чисти“. </w:t>
      </w:r>
      <w:proofErr w:type="spellStart"/>
      <w:r w:rsidRPr="00EC06FB">
        <w:rPr>
          <w:rFonts w:ascii="Verdana" w:hAnsi="Verdana"/>
          <w:lang w:val="bg-BG"/>
        </w:rPr>
        <w:t>Заустването</w:t>
      </w:r>
      <w:proofErr w:type="spellEnd"/>
      <w:r w:rsidRPr="00EC06FB">
        <w:rPr>
          <w:rFonts w:ascii="Verdana" w:hAnsi="Verdana"/>
          <w:lang w:val="bg-BG"/>
        </w:rPr>
        <w:t xml:space="preserve"> ще става в наличната градска канализационна мрежа.</w:t>
      </w:r>
    </w:p>
    <w:p w:rsidR="00A73F99" w:rsidRPr="00EC06FB" w:rsidRDefault="00A73F99" w:rsidP="00F33C60">
      <w:pPr>
        <w:pStyle w:val="af8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>Предвижда се изграждане на изпускащо устройство, което ще служи за насочване и отвеждане на изгорелите газове в атмосферата. Ще се извършват собствени периодични измервания на концентрациите на вредни вещества в отпадъчните газове, които ще бъдат докладвани, съгласно изискванията на Наредба № 6 за редът и начинът за извършване на измервания на емисиите (концентрациите на вредни вещества в отпадъчните газове), изпускани в атмосферния въздух от обекти с неподвижни източници.</w:t>
      </w:r>
    </w:p>
    <w:p w:rsidR="00A73F99" w:rsidRPr="00EC06FB" w:rsidRDefault="00A73F99" w:rsidP="00F33C60">
      <w:pPr>
        <w:pStyle w:val="af8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EC06FB">
        <w:rPr>
          <w:rFonts w:ascii="Verdana" w:hAnsi="Verdana"/>
          <w:lang w:val="bg-BG"/>
        </w:rPr>
        <w:t xml:space="preserve">Не се предвижда разполагането на разполагането на рискови енергийни източници и съоръжения, създаващи риск за населението и околната среда. </w:t>
      </w:r>
    </w:p>
    <w:p w:rsidR="00F33C60" w:rsidRPr="00EC06FB" w:rsidRDefault="00F33C60" w:rsidP="00F33C60">
      <w:pPr>
        <w:pStyle w:val="af8"/>
        <w:ind w:left="0"/>
        <w:jc w:val="both"/>
        <w:rPr>
          <w:rFonts w:ascii="Verdana" w:hAnsi="Verdana"/>
          <w:lang w:val="bg-BG"/>
        </w:rPr>
      </w:pPr>
    </w:p>
    <w:p w:rsidR="003D172D" w:rsidRPr="00EC06FB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814E79" w:rsidRPr="00EC06FB">
        <w:rPr>
          <w:rFonts w:ascii="Verdana" w:hAnsi="Verdana"/>
          <w:sz w:val="20"/>
          <w:szCs w:val="20"/>
          <w:lang w:val="bg-BG"/>
        </w:rPr>
        <w:t>6</w:t>
      </w:r>
      <w:r w:rsidR="00A73F99" w:rsidRPr="00EC06FB">
        <w:rPr>
          <w:rFonts w:ascii="Verdana" w:hAnsi="Verdana"/>
          <w:sz w:val="20"/>
          <w:szCs w:val="20"/>
          <w:lang w:val="bg-BG"/>
        </w:rPr>
        <w:t>156</w:t>
      </w:r>
      <w:r w:rsidRPr="00EC06FB">
        <w:rPr>
          <w:rFonts w:ascii="Verdana" w:hAnsi="Verdana"/>
          <w:sz w:val="20"/>
          <w:szCs w:val="20"/>
          <w:lang w:val="bg-BG"/>
        </w:rPr>
        <w:t>/</w:t>
      </w:r>
      <w:r w:rsidR="00A73F99" w:rsidRPr="00EC06FB">
        <w:rPr>
          <w:rFonts w:ascii="Verdana" w:hAnsi="Verdana"/>
          <w:sz w:val="20"/>
          <w:szCs w:val="20"/>
          <w:lang w:val="bg-BG"/>
        </w:rPr>
        <w:t>13</w:t>
      </w:r>
      <w:r w:rsidRPr="00EC06FB">
        <w:rPr>
          <w:rFonts w:ascii="Verdana" w:hAnsi="Verdana"/>
          <w:sz w:val="20"/>
          <w:szCs w:val="20"/>
          <w:lang w:val="bg-BG"/>
        </w:rPr>
        <w:t>.</w:t>
      </w:r>
      <w:r w:rsidR="00814E79" w:rsidRPr="00EC06FB">
        <w:rPr>
          <w:rFonts w:ascii="Verdana" w:hAnsi="Verdana"/>
          <w:sz w:val="20"/>
          <w:szCs w:val="20"/>
          <w:lang w:val="bg-BG"/>
        </w:rPr>
        <w:t>1</w:t>
      </w:r>
      <w:r w:rsidRPr="00EC06FB">
        <w:rPr>
          <w:rFonts w:ascii="Verdana" w:hAnsi="Verdana"/>
          <w:sz w:val="20"/>
          <w:szCs w:val="20"/>
          <w:lang w:val="bg-BG"/>
        </w:rPr>
        <w:t>0.2015г. РЗИ- Пловдив</w:t>
      </w:r>
      <w:r w:rsidRPr="00EC06FB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C06FB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</w:t>
      </w:r>
      <w:r w:rsidR="003E0826" w:rsidRPr="00EC06FB">
        <w:rPr>
          <w:rFonts w:ascii="Verdana" w:hAnsi="Verdana"/>
          <w:sz w:val="20"/>
          <w:szCs w:val="20"/>
          <w:lang w:val="bg-BG"/>
        </w:rPr>
        <w:t xml:space="preserve"> от здравно-хигиенна точка</w:t>
      </w:r>
      <w:r w:rsidRPr="00EC06FB">
        <w:rPr>
          <w:rFonts w:ascii="Verdana" w:hAnsi="Verdana"/>
          <w:sz w:val="20"/>
          <w:szCs w:val="20"/>
          <w:lang w:val="bg-BG"/>
        </w:rPr>
        <w:t>.</w:t>
      </w:r>
    </w:p>
    <w:p w:rsidR="00A73F99" w:rsidRPr="00EC06FB" w:rsidRDefault="00A73F99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EC06FB">
        <w:rPr>
          <w:rFonts w:ascii="Verdana" w:hAnsi="Verdana"/>
          <w:sz w:val="20"/>
          <w:szCs w:val="20"/>
          <w:lang w:val="bg-BG"/>
        </w:rPr>
        <w:t xml:space="preserve">Предвид разполагането на бъдещия обект в изградена  и </w:t>
      </w:r>
      <w:proofErr w:type="spellStart"/>
      <w:r w:rsidRPr="00EC06FB">
        <w:rPr>
          <w:rFonts w:ascii="Verdana" w:hAnsi="Verdana"/>
          <w:sz w:val="20"/>
          <w:szCs w:val="20"/>
          <w:lang w:val="bg-BG"/>
        </w:rPr>
        <w:t>действуваща</w:t>
      </w:r>
      <w:proofErr w:type="spellEnd"/>
      <w:r w:rsidRPr="00EC06FB">
        <w:rPr>
          <w:rFonts w:ascii="Verdana" w:hAnsi="Verdana"/>
          <w:sz w:val="20"/>
          <w:szCs w:val="20"/>
          <w:lang w:val="bg-BG"/>
        </w:rPr>
        <w:t xml:space="preserve"> промишлена зона не се очаква негативно въздействие върху здравето на хората.</w:t>
      </w:r>
    </w:p>
    <w:p w:rsidR="00A73F99" w:rsidRPr="00EC06FB" w:rsidRDefault="00A73F99" w:rsidP="00A73F99">
      <w:pPr>
        <w:numPr>
          <w:ilvl w:val="0"/>
          <w:numId w:val="6"/>
        </w:numPr>
        <w:tabs>
          <w:tab w:val="left" w:pos="567"/>
        </w:tabs>
        <w:overflowPunct/>
        <w:autoSpaceDE/>
        <w:autoSpaceDN/>
        <w:adjustRightInd/>
        <w:spacing w:after="120"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r w:rsidRPr="00EC06FB">
        <w:rPr>
          <w:rFonts w:ascii="Verdana" w:hAnsi="Verdana"/>
          <w:lang w:val="bg-BG" w:eastAsia="bg-BG"/>
        </w:rPr>
        <w:t xml:space="preserve">Реализацията на инвестиционното предложение не предполага трансгранично въздействие. </w:t>
      </w:r>
    </w:p>
    <w:p w:rsidR="00A73F99" w:rsidRPr="00EC06FB" w:rsidRDefault="00A73F99" w:rsidP="00A73F9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EC06FB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DB7070" w:rsidRPr="00EC06FB" w:rsidRDefault="00A73F99" w:rsidP="00DB7070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C06FB">
        <w:rPr>
          <w:rFonts w:ascii="Verdana" w:hAnsi="Verdana"/>
        </w:rPr>
        <w:t xml:space="preserve">Съобразно изискванията на чл.4, ал. 2 от Наредбата за ОВОС </w:t>
      </w:r>
      <w:r w:rsidR="003D172D" w:rsidRPr="00EC06FB">
        <w:rPr>
          <w:rFonts w:ascii="Verdana" w:hAnsi="Verdana"/>
        </w:rPr>
        <w:t xml:space="preserve">Възложителят е уведомил за своето инвестиционно предложение кметовете на </w:t>
      </w:r>
      <w:r w:rsidR="003B04BB" w:rsidRPr="00EC06FB">
        <w:rPr>
          <w:rFonts w:ascii="Verdana" w:hAnsi="Verdana"/>
        </w:rPr>
        <w:t xml:space="preserve">община </w:t>
      </w:r>
      <w:r w:rsidRPr="00EC06FB">
        <w:rPr>
          <w:rFonts w:ascii="Verdana" w:hAnsi="Verdana"/>
        </w:rPr>
        <w:t>Пловдив</w:t>
      </w:r>
      <w:r w:rsidR="003D172D" w:rsidRPr="00EC06FB">
        <w:rPr>
          <w:rFonts w:ascii="Verdana" w:hAnsi="Verdana"/>
        </w:rPr>
        <w:t xml:space="preserve"> и </w:t>
      </w:r>
      <w:r w:rsidRPr="00EC06FB">
        <w:rPr>
          <w:rFonts w:ascii="Verdana" w:hAnsi="Verdana"/>
        </w:rPr>
        <w:t>район „Тракия“</w:t>
      </w:r>
      <w:r w:rsidR="003D172D" w:rsidRPr="00EC06FB">
        <w:rPr>
          <w:rFonts w:ascii="Verdana" w:hAnsi="Verdana"/>
        </w:rPr>
        <w:t xml:space="preserve">, както и засегнатото население чрез обяви </w:t>
      </w:r>
      <w:r w:rsidR="00814E79" w:rsidRPr="00EC06FB">
        <w:rPr>
          <w:rFonts w:ascii="Verdana" w:hAnsi="Verdana"/>
        </w:rPr>
        <w:t xml:space="preserve">във вестник, </w:t>
      </w:r>
      <w:r w:rsidR="003D172D" w:rsidRPr="00EC06FB">
        <w:rPr>
          <w:rFonts w:ascii="Verdana" w:hAnsi="Verdana"/>
        </w:rPr>
        <w:t xml:space="preserve">на </w:t>
      </w:r>
      <w:r w:rsidR="003B04BB" w:rsidRPr="00EC06FB">
        <w:rPr>
          <w:rFonts w:ascii="Verdana" w:hAnsi="Verdana"/>
        </w:rPr>
        <w:t>информационно табло</w:t>
      </w:r>
      <w:r w:rsidR="003D172D" w:rsidRPr="00EC06FB">
        <w:rPr>
          <w:rFonts w:ascii="Verdana" w:hAnsi="Verdana"/>
        </w:rPr>
        <w:t xml:space="preserve"> и общински сайт. </w:t>
      </w:r>
    </w:p>
    <w:p w:rsidR="00476C3F" w:rsidRPr="00EC06FB" w:rsidRDefault="003D172D" w:rsidP="00476C3F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C06FB">
        <w:rPr>
          <w:rFonts w:ascii="Verdana" w:hAnsi="Verdana"/>
        </w:rPr>
        <w:t xml:space="preserve">Осигурен е обществен достъп до информацията по приложение № 2 по реда на чл. 6, ал. 9 от Наредбата за ОВОС. </w:t>
      </w:r>
      <w:r w:rsidR="00DB7070" w:rsidRPr="00EC06FB">
        <w:rPr>
          <w:rFonts w:ascii="Verdana" w:hAnsi="Verdana"/>
        </w:rPr>
        <w:t>С писмо изх. № 15ф6254/21.10.2015г. община Пловдив  и</w:t>
      </w:r>
      <w:r w:rsidR="00936B70" w:rsidRPr="00EC06FB">
        <w:rPr>
          <w:rFonts w:ascii="Verdana" w:hAnsi="Verdana"/>
        </w:rPr>
        <w:t>н</w:t>
      </w:r>
      <w:r w:rsidR="00DB7070" w:rsidRPr="00EC06FB">
        <w:rPr>
          <w:rFonts w:ascii="Verdana" w:hAnsi="Verdana"/>
        </w:rPr>
        <w:t>формира РИОСВ за липсата на писмени възражения относно  инвестиционното предложение.</w:t>
      </w:r>
      <w:r w:rsidR="00936B70" w:rsidRPr="00EC06FB">
        <w:rPr>
          <w:rFonts w:ascii="Verdana" w:hAnsi="Verdana"/>
        </w:rPr>
        <w:t xml:space="preserve"> С писмо изх. № 6-2400-2421/21.10.2015г. Кметство район «Тракия» информира РИОСВ за липсата на писмени възражения относно  инвестиционното предложение.</w:t>
      </w:r>
      <w:r w:rsidR="0007517F" w:rsidRPr="00EC06FB">
        <w:rPr>
          <w:rFonts w:ascii="Verdana" w:hAnsi="Verdana"/>
        </w:rPr>
        <w:t xml:space="preserve"> </w:t>
      </w:r>
      <w:r w:rsidR="00476C3F" w:rsidRPr="00EC06FB">
        <w:rPr>
          <w:rFonts w:ascii="Verdana" w:hAnsi="Verdana"/>
        </w:rPr>
        <w:t>„ЛАКИ 131“ ООД с</w:t>
      </w:r>
      <w:r w:rsidR="0007517F" w:rsidRPr="00EC06FB">
        <w:rPr>
          <w:rFonts w:ascii="Verdana" w:hAnsi="Verdana"/>
        </w:rPr>
        <w:t>ъс свое</w:t>
      </w:r>
      <w:r w:rsidR="00476C3F" w:rsidRPr="00EC06FB">
        <w:rPr>
          <w:rFonts w:ascii="Verdana" w:hAnsi="Verdana"/>
        </w:rPr>
        <w:t xml:space="preserve"> писмо информира РИОСВ за липсата на писмени възражения относно  инвестиционното предложение.</w:t>
      </w:r>
    </w:p>
    <w:p w:rsidR="00476C3F" w:rsidRPr="00EC06FB" w:rsidRDefault="00476C3F" w:rsidP="00476C3F">
      <w:pPr>
        <w:pStyle w:val="a7"/>
        <w:ind w:left="567"/>
        <w:rPr>
          <w:rFonts w:ascii="Verdana" w:hAnsi="Verdana"/>
        </w:rPr>
      </w:pPr>
    </w:p>
    <w:p w:rsidR="003D172D" w:rsidRPr="00EC06FB" w:rsidRDefault="003D172D" w:rsidP="00DB7070">
      <w:pPr>
        <w:pStyle w:val="a7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EC06FB">
        <w:rPr>
          <w:rFonts w:ascii="Verdana" w:hAnsi="Verdana"/>
        </w:rPr>
        <w:t xml:space="preserve">Към момента на издаване на настоящото решение </w:t>
      </w:r>
      <w:r w:rsidR="00DB7070" w:rsidRPr="00EC06FB">
        <w:rPr>
          <w:rFonts w:ascii="Verdana" w:hAnsi="Verdana"/>
        </w:rPr>
        <w:t>в РИОСВ Пловдив</w:t>
      </w:r>
      <w:r w:rsidR="00476C3F" w:rsidRPr="00EC06FB">
        <w:rPr>
          <w:rFonts w:ascii="Verdana" w:hAnsi="Verdana"/>
        </w:rPr>
        <w:t xml:space="preserve"> </w:t>
      </w:r>
      <w:r w:rsidRPr="00EC06FB">
        <w:rPr>
          <w:rFonts w:ascii="Verdana" w:hAnsi="Verdana"/>
        </w:rPr>
        <w:t>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EC06FB" w:rsidRDefault="003D172D" w:rsidP="00FE0A34">
      <w:pPr>
        <w:pStyle w:val="a7"/>
        <w:rPr>
          <w:rFonts w:ascii="Verdana" w:hAnsi="Verdana"/>
          <w:b/>
        </w:rPr>
      </w:pPr>
    </w:p>
    <w:p w:rsidR="00476C3F" w:rsidRPr="00EC06FB" w:rsidRDefault="00476C3F" w:rsidP="00FE0A34">
      <w:pPr>
        <w:pStyle w:val="a7"/>
        <w:rPr>
          <w:rFonts w:ascii="Verdana" w:hAnsi="Verdana"/>
          <w:b/>
          <w:u w:val="single"/>
        </w:rPr>
      </w:pPr>
      <w:r w:rsidRPr="00EC06FB">
        <w:rPr>
          <w:rFonts w:ascii="Verdana" w:hAnsi="Verdana"/>
          <w:b/>
          <w:u w:val="single"/>
        </w:rPr>
        <w:t>При изпълнение на следните условия:</w:t>
      </w:r>
    </w:p>
    <w:p w:rsidR="003D172D" w:rsidRPr="00EC06FB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476C3F" w:rsidRPr="00EC06FB" w:rsidRDefault="002C6B3F" w:rsidP="002C6B3F">
      <w:pPr>
        <w:pStyle w:val="a7"/>
        <w:numPr>
          <w:ilvl w:val="1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ascii="Verdana" w:hAnsi="Verdana"/>
        </w:rPr>
      </w:pPr>
      <w:r w:rsidRPr="00EC06FB">
        <w:rPr>
          <w:rFonts w:ascii="Verdana" w:hAnsi="Verdana"/>
        </w:rPr>
        <w:t>Преди  реализация на дейността  дружеството да предприеме  действия за издаване</w:t>
      </w:r>
      <w:r w:rsidR="00233843" w:rsidRPr="00EC06FB">
        <w:rPr>
          <w:rFonts w:ascii="Verdana" w:hAnsi="Verdana"/>
        </w:rPr>
        <w:t>/актуализиране</w:t>
      </w:r>
      <w:r w:rsidRPr="00EC06FB">
        <w:rPr>
          <w:rFonts w:ascii="Verdana" w:hAnsi="Verdana"/>
        </w:rPr>
        <w:t xml:space="preserve"> на разрешение по реда на чл. 67 от Закона за управление на отпадъците. </w:t>
      </w:r>
    </w:p>
    <w:p w:rsidR="002C6B3F" w:rsidRPr="00EC06FB" w:rsidRDefault="002C6B3F" w:rsidP="0021121E">
      <w:pPr>
        <w:pStyle w:val="a7"/>
        <w:numPr>
          <w:ilvl w:val="1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right="142" w:firstLine="0"/>
        <w:textAlignment w:val="auto"/>
        <w:rPr>
          <w:rFonts w:ascii="Verdana" w:hAnsi="Verdana"/>
        </w:rPr>
      </w:pPr>
      <w:r w:rsidRPr="00EC06FB">
        <w:rPr>
          <w:rFonts w:ascii="Verdana" w:hAnsi="Verdana"/>
        </w:rPr>
        <w:t>Преди въвеждане на обекта в експлоатация да се изпълнят изискванията на чл. 16 от Закона за чистотата на атмосферния въздух (ДВ бр. 45/1996г.).</w:t>
      </w:r>
    </w:p>
    <w:p w:rsidR="002C6B3F" w:rsidRPr="00EC06FB" w:rsidRDefault="002C6B3F" w:rsidP="002C6B3F">
      <w:pPr>
        <w:pStyle w:val="a7"/>
        <w:numPr>
          <w:ilvl w:val="1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firstLine="0"/>
        <w:textAlignment w:val="auto"/>
        <w:rPr>
          <w:rFonts w:ascii="Verdana" w:hAnsi="Verdana"/>
        </w:rPr>
      </w:pPr>
      <w:r w:rsidRPr="00EC06FB">
        <w:rPr>
          <w:rFonts w:ascii="Verdana" w:hAnsi="Verdana"/>
        </w:rPr>
        <w:t>Преди въвеждане на обекта в експлоатация да се изпълнят изискванията на</w:t>
      </w:r>
      <w:r w:rsidR="00233843" w:rsidRPr="00EC06FB">
        <w:rPr>
          <w:rFonts w:ascii="Verdana" w:hAnsi="Verdana"/>
        </w:rPr>
        <w:t xml:space="preserve"> чл.31 от</w:t>
      </w:r>
      <w:r w:rsidRPr="00EC06FB">
        <w:rPr>
          <w:rFonts w:ascii="Verdana" w:hAnsi="Verdana"/>
        </w:rPr>
        <w:t xml:space="preserve"> Наредба 6 (ДВ бр.31/1999г.)</w:t>
      </w:r>
    </w:p>
    <w:p w:rsidR="00476C3F" w:rsidRPr="00EC06FB" w:rsidRDefault="00476C3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EC06FB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EC06FB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C06FB">
        <w:rPr>
          <w:rFonts w:ascii="Verdana" w:hAnsi="Verdana"/>
        </w:rPr>
        <w:t>.</w:t>
      </w:r>
    </w:p>
    <w:p w:rsidR="003D172D" w:rsidRPr="00EC06FB" w:rsidRDefault="003D172D" w:rsidP="00FE0A34">
      <w:pPr>
        <w:pStyle w:val="a7"/>
        <w:rPr>
          <w:rFonts w:ascii="Verdana" w:hAnsi="Verdana"/>
          <w:b/>
          <w:bCs/>
          <w:iCs/>
        </w:rPr>
      </w:pPr>
      <w:r w:rsidRPr="00EC06FB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EC06F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EC06FB">
        <w:rPr>
          <w:rFonts w:ascii="Verdana" w:hAnsi="Verdana"/>
          <w:b/>
          <w:sz w:val="20"/>
          <w:szCs w:val="20"/>
          <w:lang w:val="bg-BG"/>
        </w:rPr>
        <w:lastRenderedPageBreak/>
        <w:t xml:space="preserve">Възложителят /новият Възложител/ трябва да уведоми РИОСВ гр. Пловдив до 14 дни след настъпване на измененията. </w:t>
      </w:r>
    </w:p>
    <w:p w:rsidR="003D172D" w:rsidRPr="00EC06FB" w:rsidRDefault="00936B7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>Съгласно разпоредбата на чл.93, ал. 7 от ЗООС н</w:t>
      </w:r>
      <w:r w:rsidR="003D172D" w:rsidRPr="00EC06FB">
        <w:rPr>
          <w:rFonts w:ascii="Verdana" w:hAnsi="Verdana"/>
          <w:b/>
          <w:sz w:val="20"/>
          <w:szCs w:val="20"/>
          <w:lang w:val="bg-BG"/>
        </w:rPr>
        <w:t>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EC06F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C06FB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EC06FB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517F" w:rsidRPr="00EC06FB" w:rsidRDefault="0007517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517F" w:rsidRPr="00EC06FB" w:rsidRDefault="0007517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517F" w:rsidRPr="00EC06FB" w:rsidRDefault="0007517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36B70" w:rsidRPr="00EC06FB" w:rsidRDefault="00936B70" w:rsidP="00FD1DE2">
      <w:pPr>
        <w:jc w:val="both"/>
        <w:rPr>
          <w:rFonts w:ascii="Verdana" w:hAnsi="Verdana"/>
          <w:b/>
          <w:lang w:val="bg-BG"/>
        </w:rPr>
      </w:pPr>
    </w:p>
    <w:p w:rsidR="003D172D" w:rsidRPr="00EC06FB" w:rsidRDefault="003D172D" w:rsidP="00FD1DE2">
      <w:pPr>
        <w:jc w:val="both"/>
        <w:rPr>
          <w:rFonts w:ascii="Verdana" w:hAnsi="Verdana"/>
          <w:b/>
          <w:lang w:val="bg-BG"/>
        </w:rPr>
      </w:pPr>
      <w:r w:rsidRPr="00EC06FB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EC06FB">
        <w:rPr>
          <w:rFonts w:ascii="Verdana" w:hAnsi="Verdana"/>
          <w:b/>
          <w:lang w:val="bg-BG"/>
        </w:rPr>
        <w:t>Шилев</w:t>
      </w:r>
      <w:proofErr w:type="spellEnd"/>
      <w:r w:rsidRPr="00EC06FB">
        <w:rPr>
          <w:rFonts w:ascii="Verdana" w:hAnsi="Verdana"/>
          <w:b/>
          <w:lang w:val="bg-BG"/>
        </w:rPr>
        <w:t xml:space="preserve">                                                                 </w:t>
      </w:r>
      <w:r w:rsidR="00580F9F" w:rsidRPr="00EC06FB">
        <w:rPr>
          <w:rFonts w:ascii="Verdana" w:hAnsi="Verdana"/>
          <w:b/>
          <w:lang w:val="bg-BG"/>
        </w:rPr>
        <w:t>03.11.</w:t>
      </w:r>
      <w:r w:rsidRPr="00EC06FB">
        <w:rPr>
          <w:rFonts w:ascii="Verdana" w:hAnsi="Verdana"/>
          <w:b/>
          <w:lang w:val="bg-BG"/>
        </w:rPr>
        <w:t>2015г.</w:t>
      </w:r>
    </w:p>
    <w:p w:rsidR="003D172D" w:rsidRPr="00EC06FB" w:rsidRDefault="003D172D" w:rsidP="00FD1DE2">
      <w:pPr>
        <w:jc w:val="both"/>
        <w:rPr>
          <w:rFonts w:ascii="Verdana" w:hAnsi="Verdana"/>
          <w:i/>
          <w:lang w:val="bg-BG"/>
        </w:rPr>
      </w:pPr>
      <w:r w:rsidRPr="00EC06FB">
        <w:rPr>
          <w:rFonts w:ascii="Verdana" w:hAnsi="Verdana"/>
          <w:i/>
          <w:lang w:val="bg-BG"/>
        </w:rPr>
        <w:t xml:space="preserve">Директор на  РИОСВ - Пловдив </w:t>
      </w:r>
    </w:p>
    <w:p w:rsidR="003D172D" w:rsidRPr="00EC06FB" w:rsidRDefault="003D172D" w:rsidP="00FD1DE2">
      <w:pPr>
        <w:jc w:val="both"/>
        <w:rPr>
          <w:rFonts w:ascii="Verdana" w:hAnsi="Verdana"/>
          <w:i/>
          <w:lang w:val="bg-BG"/>
        </w:rPr>
      </w:pPr>
    </w:p>
    <w:p w:rsidR="00641E63" w:rsidRPr="00EC06FB" w:rsidRDefault="00641E63" w:rsidP="00FD1DE2">
      <w:pPr>
        <w:jc w:val="both"/>
        <w:rPr>
          <w:rFonts w:ascii="Verdana" w:hAnsi="Verdana"/>
          <w:i/>
          <w:lang w:val="bg-BG"/>
        </w:rPr>
      </w:pPr>
    </w:p>
    <w:p w:rsidR="00641E63" w:rsidRPr="00EC06FB" w:rsidRDefault="00641E63" w:rsidP="00FD1DE2">
      <w:pPr>
        <w:jc w:val="both"/>
        <w:rPr>
          <w:rFonts w:ascii="Verdana" w:hAnsi="Verdana"/>
          <w:i/>
          <w:lang w:val="bg-BG"/>
        </w:rPr>
      </w:pPr>
    </w:p>
    <w:p w:rsidR="0007517F" w:rsidRPr="00D31B84" w:rsidRDefault="0007517F" w:rsidP="00233843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641E63" w:rsidRPr="00D246C1" w:rsidRDefault="00641E63" w:rsidP="00641E63">
      <w:pPr>
        <w:pStyle w:val="a5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</w:rPr>
        <w:t xml:space="preserve">         </w:t>
      </w: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sectPr w:rsidR="00641E63" w:rsidSect="0021121E">
      <w:footerReference w:type="default" r:id="rId7"/>
      <w:headerReference w:type="first" r:id="rId8"/>
      <w:pgSz w:w="11907" w:h="16840" w:code="9"/>
      <w:pgMar w:top="993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09AB7C4" wp14:editId="4A88860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728AEB13" wp14:editId="56691B1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26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941C788" wp14:editId="0B90756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468F1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09BCB5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B03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35F2D47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876037"/>
    <w:multiLevelType w:val="hybridMultilevel"/>
    <w:tmpl w:val="A4E8D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8"/>
  </w:num>
  <w:num w:numId="5">
    <w:abstractNumId w:val="23"/>
  </w:num>
  <w:num w:numId="6">
    <w:abstractNumId w:val="16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0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9"/>
  </w:num>
  <w:num w:numId="22">
    <w:abstractNumId w:val="12"/>
  </w:num>
  <w:num w:numId="23">
    <w:abstractNumId w:val="13"/>
  </w:num>
  <w:num w:numId="24">
    <w:abstractNumId w:val="22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7517F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5FFD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3EB2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121E"/>
    <w:rsid w:val="00212E7F"/>
    <w:rsid w:val="0022603E"/>
    <w:rsid w:val="00231EC8"/>
    <w:rsid w:val="00233451"/>
    <w:rsid w:val="00233843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0C06"/>
    <w:rsid w:val="002C252C"/>
    <w:rsid w:val="002C2B04"/>
    <w:rsid w:val="002C6B3F"/>
    <w:rsid w:val="002D0F7E"/>
    <w:rsid w:val="002D54C3"/>
    <w:rsid w:val="002D5B84"/>
    <w:rsid w:val="002D69EA"/>
    <w:rsid w:val="002E245E"/>
    <w:rsid w:val="002E25EF"/>
    <w:rsid w:val="002E4909"/>
    <w:rsid w:val="002E4D4C"/>
    <w:rsid w:val="002E55CA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041A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CC0"/>
    <w:rsid w:val="003E0826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76C3F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A49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0F9F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1C0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178B"/>
    <w:rsid w:val="00716048"/>
    <w:rsid w:val="007167F4"/>
    <w:rsid w:val="00716979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4818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93D"/>
    <w:rsid w:val="0093612F"/>
    <w:rsid w:val="00936425"/>
    <w:rsid w:val="00936B70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8779A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3F99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13C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E5DE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0ECF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B7070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07F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4432"/>
    <w:rsid w:val="00EA57E8"/>
    <w:rsid w:val="00EA71DF"/>
    <w:rsid w:val="00EA7472"/>
    <w:rsid w:val="00EB04B5"/>
    <w:rsid w:val="00EB63EB"/>
    <w:rsid w:val="00EB70DC"/>
    <w:rsid w:val="00EB79D7"/>
    <w:rsid w:val="00EC06FB"/>
    <w:rsid w:val="00EC304D"/>
    <w:rsid w:val="00EC442C"/>
    <w:rsid w:val="00ED1377"/>
    <w:rsid w:val="00EE17DF"/>
    <w:rsid w:val="00EE3DE1"/>
    <w:rsid w:val="00EE7FE0"/>
    <w:rsid w:val="00EF0AE6"/>
    <w:rsid w:val="00EF1A67"/>
    <w:rsid w:val="00EF2A8F"/>
    <w:rsid w:val="00F0001F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3C60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71F3C1A"/>
  <w15:docId w15:val="{17B23969-F2D1-4FFC-B978-80ABBF7D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</cp:revision>
  <cp:lastPrinted>2015-10-26T11:57:00Z</cp:lastPrinted>
  <dcterms:created xsi:type="dcterms:W3CDTF">2015-10-21T14:01:00Z</dcterms:created>
  <dcterms:modified xsi:type="dcterms:W3CDTF">2019-09-24T13:09:00Z</dcterms:modified>
</cp:coreProperties>
</file>