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DD12B" w14:textId="77777777" w:rsidR="00B06EAD" w:rsidRDefault="00D20EBD">
      <w:pPr>
        <w:shd w:val="clear" w:color="auto" w:fill="FFFFFF"/>
        <w:spacing w:after="0" w:line="240" w:lineRule="auto"/>
        <w:ind w:right="339" w:firstLine="567"/>
        <w:jc w:val="right"/>
        <w:rPr>
          <w:rFonts w:ascii="Times New Roman" w:eastAsia="Times New Roman" w:hAnsi="Times New Roman" w:cs="Times New Roman"/>
          <w:b/>
          <w:i/>
          <w:sz w:val="24"/>
          <w:szCs w:val="24"/>
          <w:lang w:eastAsia="bg-BG"/>
        </w:rPr>
      </w:pPr>
      <w:r>
        <w:rPr>
          <w:rFonts w:ascii="Times New Roman" w:eastAsia="Times New Roman" w:hAnsi="Times New Roman" w:cs="Times New Roman"/>
          <w:b/>
          <w:i/>
          <w:sz w:val="24"/>
          <w:szCs w:val="24"/>
          <w:lang w:eastAsia="bg-BG"/>
        </w:rPr>
        <w:t>Приложение № 5 към чл. 4, ал. 1</w:t>
      </w:r>
    </w:p>
    <w:p w14:paraId="3DBE1A57" w14:textId="77777777" w:rsidR="00B06EAD" w:rsidRDefault="00D20EBD">
      <w:pPr>
        <w:spacing w:after="0" w:line="240" w:lineRule="auto"/>
        <w:rPr>
          <w:rFonts w:ascii="Times New Roman" w:hAnsi="Times New Roman" w:cs="Times New Roman"/>
          <w:i/>
        </w:rPr>
      </w:pPr>
      <w:r>
        <w:rPr>
          <w:rFonts w:ascii="Times New Roman" w:hAnsi="Times New Roman" w:cs="Times New Roman"/>
          <w:i/>
        </w:rPr>
        <w:t>Наредбата за условията и реда за извършване на оценка на въздействието върху околната среда (Наредба за ОВОС)</w:t>
      </w:r>
    </w:p>
    <w:p w14:paraId="41054C87" w14:textId="77777777" w:rsidR="00B06EAD" w:rsidRDefault="00D20EBD">
      <w:pPr>
        <w:shd w:val="clear" w:color="auto" w:fill="FFFFFF"/>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(Ново - ДВ, бр. 12 от 2016 г., в сила от 12.02.2016 г., изм. и доп. - ДВ, бр. 3 от 2018 г., изм. - ДВ, бр. 31 от 2019 г., в сила от 12.04.2019 г., доп. - ДВ, бр. 67 от 2019 г., в сила от </w:t>
      </w:r>
      <w:r>
        <w:rPr>
          <w:rFonts w:ascii="Times New Roman" w:eastAsia="Times New Roman" w:hAnsi="Times New Roman" w:cs="Times New Roman"/>
          <w:b/>
          <w:sz w:val="24"/>
          <w:szCs w:val="24"/>
          <w:lang w:eastAsia="bg-BG"/>
        </w:rPr>
        <w:t>28.08.2019 г</w:t>
      </w:r>
      <w:r>
        <w:rPr>
          <w:rFonts w:ascii="Times New Roman" w:eastAsia="Times New Roman" w:hAnsi="Times New Roman" w:cs="Times New Roman"/>
          <w:sz w:val="24"/>
          <w:szCs w:val="24"/>
          <w:lang w:eastAsia="bg-BG"/>
        </w:rPr>
        <w:t>.)</w:t>
      </w:r>
    </w:p>
    <w:p w14:paraId="0355B77B" w14:textId="77777777" w:rsidR="00B06EAD" w:rsidRDefault="00D20EBD">
      <w:pPr>
        <w:spacing w:before="480" w:after="0" w:line="240" w:lineRule="auto"/>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ДО</w:t>
      </w:r>
    </w:p>
    <w:p w14:paraId="0A6C9465" w14:textId="77777777" w:rsidR="00B06EAD" w:rsidRDefault="00D20EBD">
      <w:pPr>
        <w:spacing w:after="0" w:line="240" w:lineRule="auto"/>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ДИРЕКТОРА НА РИОСВ</w:t>
      </w:r>
    </w:p>
    <w:p w14:paraId="0285AEB4" w14:textId="77777777" w:rsidR="00B06EAD" w:rsidRDefault="00D20EBD">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ПЛОВДИВ</w:t>
      </w:r>
    </w:p>
    <w:p w14:paraId="5D8BD1DB" w14:textId="77777777" w:rsidR="00B06EAD" w:rsidRDefault="00D20EBD">
      <w:pPr>
        <w:spacing w:before="840" w:after="0" w:line="240" w:lineRule="auto"/>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УВЕДОМЛЕНИЕ</w:t>
      </w:r>
    </w:p>
    <w:p w14:paraId="57FEADAE" w14:textId="77777777" w:rsidR="00B06EAD" w:rsidRDefault="00D20EBD">
      <w:pPr>
        <w:spacing w:after="0" w:line="240" w:lineRule="auto"/>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за инвестиционно предложение</w:t>
      </w:r>
    </w:p>
    <w:p w14:paraId="2D10FBC2" w14:textId="3378628C" w:rsidR="000339E3" w:rsidRDefault="00D20EBD" w:rsidP="00302C29">
      <w:pPr>
        <w:spacing w:before="480"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от </w:t>
      </w:r>
      <w:r>
        <w:rPr>
          <w:rFonts w:ascii="Times New Roman" w:eastAsia="Times New Roman" w:hAnsi="Times New Roman" w:cs="Times New Roman"/>
          <w:b/>
          <w:sz w:val="26"/>
          <w:szCs w:val="26"/>
          <w:lang w:eastAsia="bg-BG"/>
        </w:rPr>
        <w:t xml:space="preserve">„Ел </w:t>
      </w:r>
      <w:proofErr w:type="spellStart"/>
      <w:r>
        <w:rPr>
          <w:rFonts w:ascii="Times New Roman" w:eastAsia="Times New Roman" w:hAnsi="Times New Roman" w:cs="Times New Roman"/>
          <w:b/>
          <w:sz w:val="26"/>
          <w:szCs w:val="26"/>
          <w:lang w:eastAsia="bg-BG"/>
        </w:rPr>
        <w:t>Ел</w:t>
      </w:r>
      <w:proofErr w:type="spellEnd"/>
      <w:r>
        <w:rPr>
          <w:rFonts w:ascii="Times New Roman" w:eastAsia="Times New Roman" w:hAnsi="Times New Roman" w:cs="Times New Roman"/>
          <w:b/>
          <w:sz w:val="26"/>
          <w:szCs w:val="26"/>
          <w:lang w:eastAsia="bg-BG"/>
        </w:rPr>
        <w:t xml:space="preserve"> Трейд </w:t>
      </w:r>
      <w:proofErr w:type="spellStart"/>
      <w:r>
        <w:rPr>
          <w:rFonts w:ascii="Times New Roman" w:eastAsia="Times New Roman" w:hAnsi="Times New Roman" w:cs="Times New Roman"/>
          <w:b/>
          <w:sz w:val="26"/>
          <w:szCs w:val="26"/>
          <w:lang w:eastAsia="bg-BG"/>
        </w:rPr>
        <w:t>Бг</w:t>
      </w:r>
      <w:proofErr w:type="spellEnd"/>
      <w:r>
        <w:rPr>
          <w:rFonts w:ascii="Times New Roman" w:eastAsia="Times New Roman" w:hAnsi="Times New Roman" w:cs="Times New Roman"/>
          <w:b/>
          <w:sz w:val="26"/>
          <w:szCs w:val="26"/>
          <w:lang w:eastAsia="bg-BG"/>
        </w:rPr>
        <w:t>“ ЕООД, ЕИК 203384519,</w:t>
      </w:r>
      <w:r>
        <w:rPr>
          <w:rFonts w:ascii="Times New Roman" w:eastAsia="Times New Roman" w:hAnsi="Times New Roman" w:cs="Times New Roman"/>
          <w:sz w:val="26"/>
          <w:szCs w:val="26"/>
          <w:lang w:eastAsia="bg-BG"/>
        </w:rPr>
        <w:t xml:space="preserve"> </w:t>
      </w:r>
      <w:r>
        <w:rPr>
          <w:rFonts w:ascii="Times New Roman" w:eastAsia="Times New Roman" w:hAnsi="Times New Roman" w:cs="Times New Roman"/>
          <w:sz w:val="24"/>
          <w:szCs w:val="24"/>
          <w:lang w:eastAsia="bg-BG"/>
        </w:rPr>
        <w:t xml:space="preserve">представлявано от управителя си </w:t>
      </w:r>
    </w:p>
    <w:p w14:paraId="2C695E5E" w14:textId="77777777" w:rsidR="00302C29" w:rsidRPr="000339E3" w:rsidRDefault="00302C29" w:rsidP="00302C29">
      <w:pPr>
        <w:spacing w:before="480" w:after="0" w:line="240" w:lineRule="auto"/>
        <w:rPr>
          <w:rFonts w:ascii="Times New Roman" w:hAnsi="Times New Roman" w:cs="Times New Roman"/>
          <w:sz w:val="24"/>
          <w:szCs w:val="24"/>
        </w:rPr>
      </w:pPr>
      <w:bookmarkStart w:id="0" w:name="_GoBack"/>
      <w:bookmarkEnd w:id="0"/>
    </w:p>
    <w:p w14:paraId="2671FC57" w14:textId="77777777" w:rsidR="00B06EAD" w:rsidRDefault="00D20EBD">
      <w:pPr>
        <w:spacing w:before="240" w:after="0" w:line="240" w:lineRule="auto"/>
        <w:ind w:right="340" w:firstLine="567"/>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УВАЖАЕМИ Г-Н ДИРЕКТОР,</w:t>
      </w:r>
    </w:p>
    <w:p w14:paraId="7DEA52AB" w14:textId="77777777" w:rsidR="00B06EAD" w:rsidRDefault="00D20EBD">
      <w:pPr>
        <w:spacing w:before="240" w:after="0" w:line="240" w:lineRule="auto"/>
        <w:ind w:right="3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Уведомяваме Ви, че </w:t>
      </w:r>
      <w:r>
        <w:rPr>
          <w:rFonts w:ascii="Times New Roman" w:eastAsia="Calibri" w:hAnsi="Times New Roman" w:cs="Times New Roman"/>
          <w:sz w:val="24"/>
          <w:szCs w:val="24"/>
        </w:rPr>
        <w:t xml:space="preserve">„Ел </w:t>
      </w:r>
      <w:proofErr w:type="spellStart"/>
      <w:r>
        <w:rPr>
          <w:rFonts w:ascii="Times New Roman" w:eastAsia="Calibri" w:hAnsi="Times New Roman" w:cs="Times New Roman"/>
          <w:sz w:val="24"/>
          <w:szCs w:val="24"/>
        </w:rPr>
        <w:t>Ел</w:t>
      </w:r>
      <w:proofErr w:type="spellEnd"/>
      <w:r>
        <w:rPr>
          <w:rFonts w:ascii="Times New Roman" w:eastAsia="Calibri" w:hAnsi="Times New Roman" w:cs="Times New Roman"/>
          <w:sz w:val="24"/>
          <w:szCs w:val="24"/>
        </w:rPr>
        <w:t xml:space="preserve"> Трейд </w:t>
      </w:r>
      <w:proofErr w:type="spellStart"/>
      <w:r>
        <w:rPr>
          <w:rFonts w:ascii="Times New Roman" w:eastAsia="Calibri" w:hAnsi="Times New Roman" w:cs="Times New Roman"/>
          <w:sz w:val="24"/>
          <w:szCs w:val="24"/>
        </w:rPr>
        <w:t>Бг</w:t>
      </w:r>
      <w:proofErr w:type="spellEnd"/>
      <w:r>
        <w:rPr>
          <w:rFonts w:ascii="Times New Roman" w:eastAsia="Calibri" w:hAnsi="Times New Roman" w:cs="Times New Roman"/>
          <w:sz w:val="24"/>
          <w:szCs w:val="24"/>
        </w:rPr>
        <w:t>” ЕООД</w:t>
      </w:r>
      <w:r>
        <w:rPr>
          <w:rFonts w:ascii="Times New Roman" w:eastAsia="Times New Roman" w:hAnsi="Times New Roman" w:cs="Times New Roman"/>
          <w:sz w:val="24"/>
          <w:szCs w:val="24"/>
          <w:lang w:eastAsia="bg-BG"/>
        </w:rPr>
        <w:t xml:space="preserve">  има следното инвестиционно предложение: </w:t>
      </w:r>
      <w:r>
        <w:rPr>
          <w:rFonts w:ascii="Times New Roman" w:hAnsi="Times New Roman" w:cs="Times New Roman"/>
          <w:b/>
          <w:i/>
          <w:sz w:val="24"/>
          <w:szCs w:val="24"/>
        </w:rPr>
        <w:t>„Цех за извличане на разтворители от отпадъци, съдържащи разтворители и  измиване на замърсени опаковки, с площадка за временно съхранение и предварително третиране на замърсени опаковки и отпадъци, съдържащи разтворители</w:t>
      </w:r>
      <w:r>
        <w:rPr>
          <w:rFonts w:ascii="Times New Roman" w:hAnsi="Times New Roman" w:cs="Times New Roman"/>
          <w:b/>
          <w:sz w:val="24"/>
          <w:szCs w:val="24"/>
        </w:rPr>
        <w:t>“</w:t>
      </w:r>
      <w:r>
        <w:rPr>
          <w:rFonts w:ascii="Times New Roman" w:hAnsi="Times New Roman" w:cs="Times New Roman"/>
          <w:sz w:val="24"/>
          <w:szCs w:val="24"/>
        </w:rPr>
        <w:t xml:space="preserve"> в поземлен имот с идентификатор 56784.503.465, гр. Пловдив, община Пловдив, област Пловдив.</w:t>
      </w:r>
    </w:p>
    <w:p w14:paraId="21726BC0" w14:textId="77777777" w:rsidR="00B06EAD" w:rsidRDefault="00D20EBD">
      <w:pPr>
        <w:spacing w:before="240" w:after="0" w:line="288" w:lineRule="auto"/>
        <w:ind w:right="34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Характеристика на инвестиционното предложение:</w:t>
      </w:r>
    </w:p>
    <w:p w14:paraId="3D9C6184" w14:textId="77777777" w:rsidR="00B06EAD" w:rsidRDefault="00D20EBD">
      <w:pPr>
        <w:spacing w:after="0" w:line="288"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1. Резюме на предложението:</w:t>
      </w:r>
    </w:p>
    <w:p w14:paraId="3355EAB5" w14:textId="77777777" w:rsidR="00B06EAD" w:rsidRDefault="00D20EBD">
      <w:pPr>
        <w:widowControl w:val="0"/>
        <w:spacing w:after="0" w:line="288" w:lineRule="auto"/>
        <w:jc w:val="both"/>
        <w:rPr>
          <w:rFonts w:ascii="Times New Roman" w:hAnsi="Times New Roman"/>
          <w:sz w:val="24"/>
          <w:szCs w:val="24"/>
        </w:rPr>
      </w:pPr>
      <w:r>
        <w:rPr>
          <w:rFonts w:ascii="Times New Roman" w:hAnsi="Times New Roman"/>
          <w:sz w:val="24"/>
          <w:szCs w:val="24"/>
        </w:rPr>
        <w:t>Инвестиционното предложение (ИП) е ново и предвижда изграждането на цех за извличане на разтворители от отпадъци, съдържащи разтворители и измиване на замърсени опаковки, в ПИ № 56784.503.465, гр. Пловдив.</w:t>
      </w:r>
    </w:p>
    <w:p w14:paraId="0219EEDC" w14:textId="77777777" w:rsidR="00B06EAD" w:rsidRDefault="00D20EBD">
      <w:pPr>
        <w:widowControl w:val="0"/>
        <w:spacing w:after="0" w:line="288" w:lineRule="auto"/>
        <w:jc w:val="both"/>
        <w:rPr>
          <w:rFonts w:ascii="Times New Roman" w:hAnsi="Times New Roman"/>
          <w:sz w:val="24"/>
          <w:szCs w:val="24"/>
        </w:rPr>
      </w:pPr>
      <w:r>
        <w:rPr>
          <w:rFonts w:ascii="Times New Roman" w:hAnsi="Times New Roman"/>
          <w:sz w:val="24"/>
          <w:szCs w:val="24"/>
        </w:rPr>
        <w:t xml:space="preserve">Цехът ще се разположи в новопроектирано хале от метална конструкция и </w:t>
      </w:r>
      <w:proofErr w:type="spellStart"/>
      <w:r>
        <w:rPr>
          <w:rFonts w:ascii="Times New Roman" w:hAnsi="Times New Roman"/>
          <w:sz w:val="24"/>
          <w:szCs w:val="24"/>
        </w:rPr>
        <w:t>термопанели</w:t>
      </w:r>
      <w:proofErr w:type="spellEnd"/>
      <w:r>
        <w:rPr>
          <w:rFonts w:ascii="Times New Roman" w:hAnsi="Times New Roman"/>
          <w:sz w:val="24"/>
          <w:szCs w:val="24"/>
        </w:rPr>
        <w:t xml:space="preserve"> с площ 600 м</w:t>
      </w:r>
      <w:r>
        <w:rPr>
          <w:rFonts w:ascii="Times New Roman" w:hAnsi="Times New Roman"/>
          <w:sz w:val="24"/>
          <w:szCs w:val="24"/>
          <w:vertAlign w:val="superscript"/>
        </w:rPr>
        <w:t>2</w:t>
      </w:r>
      <w:r>
        <w:rPr>
          <w:rFonts w:ascii="Times New Roman" w:hAnsi="Times New Roman"/>
          <w:sz w:val="24"/>
          <w:szCs w:val="24"/>
        </w:rPr>
        <w:t xml:space="preserve">. За временно съхранение и предварително третиране на замърсени опаковки, и отпадъци съдържащи разтворители се обособява отделна площадка, разположена в новопроектирано хале от метална конструкция и </w:t>
      </w:r>
      <w:proofErr w:type="spellStart"/>
      <w:r>
        <w:rPr>
          <w:rFonts w:ascii="Times New Roman" w:hAnsi="Times New Roman"/>
          <w:sz w:val="24"/>
          <w:szCs w:val="24"/>
        </w:rPr>
        <w:t>термопанели</w:t>
      </w:r>
      <w:proofErr w:type="spellEnd"/>
      <w:r>
        <w:rPr>
          <w:rFonts w:ascii="Times New Roman" w:hAnsi="Times New Roman"/>
          <w:sz w:val="24"/>
          <w:szCs w:val="24"/>
        </w:rPr>
        <w:t xml:space="preserve"> с площ около 200 м</w:t>
      </w:r>
      <w:r>
        <w:rPr>
          <w:rFonts w:ascii="Times New Roman" w:hAnsi="Times New Roman"/>
          <w:sz w:val="24"/>
          <w:szCs w:val="24"/>
          <w:vertAlign w:val="superscript"/>
        </w:rPr>
        <w:t>2</w:t>
      </w:r>
      <w:r>
        <w:rPr>
          <w:rFonts w:ascii="Times New Roman" w:hAnsi="Times New Roman"/>
          <w:sz w:val="24"/>
          <w:szCs w:val="24"/>
        </w:rPr>
        <w:t>.</w:t>
      </w:r>
    </w:p>
    <w:p w14:paraId="37ED1DE0" w14:textId="77777777" w:rsidR="00B06EAD" w:rsidRDefault="00D20EBD">
      <w:pPr>
        <w:widowControl w:val="0"/>
        <w:spacing w:after="0" w:line="288" w:lineRule="auto"/>
        <w:jc w:val="both"/>
        <w:rPr>
          <w:rFonts w:ascii="Times New Roman" w:hAnsi="Times New Roman"/>
          <w:sz w:val="24"/>
          <w:szCs w:val="24"/>
        </w:rPr>
      </w:pPr>
      <w:r>
        <w:rPr>
          <w:rFonts w:ascii="Times New Roman" w:hAnsi="Times New Roman"/>
          <w:sz w:val="24"/>
          <w:szCs w:val="24"/>
        </w:rPr>
        <w:t>Инвестиционното предложение не попада в описаните в приложение № 1 към Закона за опазване на околната среда (ЗООС). ИП попада в т. 11б от приложение № 2 към Закона за опазване на околната среда (ЗООС).</w:t>
      </w:r>
    </w:p>
    <w:p w14:paraId="1E9FFDCF" w14:textId="77777777" w:rsidR="00B06EAD" w:rsidRDefault="00D20EBD">
      <w:pPr>
        <w:tabs>
          <w:tab w:val="left" w:pos="9781"/>
        </w:tabs>
        <w:spacing w:after="0" w:line="288" w:lineRule="auto"/>
        <w:ind w:right="-2"/>
        <w:jc w:val="both"/>
        <w:rPr>
          <w:rFonts w:ascii="Times New Roman" w:hAnsi="Times New Roman"/>
          <w:sz w:val="24"/>
          <w:szCs w:val="24"/>
        </w:rPr>
      </w:pPr>
      <w:r>
        <w:rPr>
          <w:rFonts w:ascii="Times New Roman" w:hAnsi="Times New Roman"/>
          <w:sz w:val="24"/>
          <w:szCs w:val="24"/>
        </w:rPr>
        <w:t>Максималния проектен моментен капацитет за съхранение на отпадъци на площадката е 49 тона. Максималния проектен моментен капацитет за регенерирана на отпадъци, съдържащи разтворители при максимални натоварване на съоръженията е под 9 тона дневно.</w:t>
      </w:r>
    </w:p>
    <w:p w14:paraId="7AD8BA19" w14:textId="77777777" w:rsidR="00B06EAD" w:rsidRDefault="00D20EBD">
      <w:pPr>
        <w:tabs>
          <w:tab w:val="left" w:pos="9781"/>
        </w:tabs>
        <w:spacing w:after="0" w:line="288" w:lineRule="auto"/>
        <w:ind w:right="-2"/>
        <w:jc w:val="both"/>
        <w:rPr>
          <w:rFonts w:ascii="Times New Roman" w:hAnsi="Times New Roman"/>
          <w:sz w:val="24"/>
          <w:szCs w:val="24"/>
        </w:rPr>
      </w:pPr>
      <w:r>
        <w:rPr>
          <w:rFonts w:ascii="Times New Roman" w:hAnsi="Times New Roman"/>
          <w:sz w:val="24"/>
          <w:szCs w:val="24"/>
        </w:rPr>
        <w:lastRenderedPageBreak/>
        <w:t xml:space="preserve">На обекта не се предвижда  да се извършва обезвреждане на отпадъци по смисъла на т. 11 от Допълнителните Разпоредби и Приложение </w:t>
      </w:r>
      <w:r>
        <w:rPr>
          <w:rFonts w:asciiTheme="minorEastAsia" w:hAnsiTheme="minorEastAsia" w:cstheme="minorEastAsia"/>
          <w:sz w:val="24"/>
          <w:szCs w:val="24"/>
        </w:rPr>
        <w:t xml:space="preserve">№ </w:t>
      </w:r>
      <w:r>
        <w:rPr>
          <w:rFonts w:ascii="Times New Roman" w:hAnsi="Times New Roman"/>
          <w:sz w:val="24"/>
          <w:szCs w:val="24"/>
        </w:rPr>
        <w:t>1 от Закона за управление на отпадъците (</w:t>
      </w:r>
      <w:proofErr w:type="spellStart"/>
      <w:r>
        <w:rPr>
          <w:rFonts w:ascii="Times New Roman" w:hAnsi="Times New Roman"/>
          <w:sz w:val="24"/>
          <w:szCs w:val="24"/>
        </w:rPr>
        <w:t>посл</w:t>
      </w:r>
      <w:proofErr w:type="spellEnd"/>
      <w:r>
        <w:rPr>
          <w:rFonts w:ascii="Times New Roman" w:hAnsi="Times New Roman"/>
          <w:sz w:val="24"/>
          <w:szCs w:val="24"/>
        </w:rPr>
        <w:t>. изм. ДВ, бр. 61/25.07.2014 г.) вкл. и такива, образувани от дейността му.</w:t>
      </w:r>
    </w:p>
    <w:p w14:paraId="6768515B" w14:textId="77777777" w:rsidR="00B06EAD" w:rsidRDefault="00D20EBD">
      <w:pPr>
        <w:tabs>
          <w:tab w:val="left" w:pos="9639"/>
        </w:tabs>
        <w:spacing w:after="0" w:line="288" w:lineRule="auto"/>
        <w:ind w:right="-2"/>
        <w:jc w:val="both"/>
        <w:rPr>
          <w:rFonts w:ascii="Times New Roman" w:hAnsi="Times New Roman"/>
          <w:sz w:val="24"/>
          <w:szCs w:val="24"/>
        </w:rPr>
      </w:pPr>
      <w:r>
        <w:rPr>
          <w:rFonts w:ascii="Times New Roman" w:hAnsi="Times New Roman"/>
          <w:sz w:val="24"/>
          <w:szCs w:val="24"/>
        </w:rPr>
        <w:t xml:space="preserve">На обекта се предвижда да се извършват единствено дейности по оползотворяване на отпадъци по смисъла на т. 13 и 14 от Допълнителните Разпоредби и Приложение </w:t>
      </w:r>
      <w:r>
        <w:rPr>
          <w:rFonts w:asciiTheme="minorEastAsia" w:hAnsiTheme="minorEastAsia" w:cstheme="minorEastAsia"/>
          <w:sz w:val="24"/>
          <w:szCs w:val="24"/>
        </w:rPr>
        <w:t xml:space="preserve">№ </w:t>
      </w:r>
      <w:r>
        <w:rPr>
          <w:rFonts w:ascii="Times New Roman" w:hAnsi="Times New Roman"/>
          <w:sz w:val="24"/>
          <w:szCs w:val="24"/>
        </w:rPr>
        <w:t>2 от Закона за управление на отпадъците (</w:t>
      </w:r>
      <w:proofErr w:type="spellStart"/>
      <w:r>
        <w:rPr>
          <w:rFonts w:ascii="Times New Roman" w:hAnsi="Times New Roman"/>
          <w:sz w:val="24"/>
          <w:szCs w:val="24"/>
        </w:rPr>
        <w:t>посл</w:t>
      </w:r>
      <w:proofErr w:type="spellEnd"/>
      <w:r>
        <w:rPr>
          <w:rFonts w:ascii="Times New Roman" w:hAnsi="Times New Roman"/>
          <w:sz w:val="24"/>
          <w:szCs w:val="24"/>
        </w:rPr>
        <w:t>. изм. ДВ, бр. 61/25.07.2014 г.) вкл. и такива, образувани от дейността му.</w:t>
      </w:r>
    </w:p>
    <w:p w14:paraId="28060F10" w14:textId="77777777" w:rsidR="00B06EAD" w:rsidRDefault="00D20EBD">
      <w:pPr>
        <w:tabs>
          <w:tab w:val="left" w:pos="9781"/>
        </w:tabs>
        <w:spacing w:after="0" w:line="288" w:lineRule="auto"/>
        <w:ind w:right="-2"/>
        <w:jc w:val="both"/>
        <w:rPr>
          <w:rFonts w:ascii="Times New Roman" w:hAnsi="Times New Roman"/>
          <w:sz w:val="24"/>
          <w:szCs w:val="24"/>
        </w:rPr>
      </w:pPr>
      <w:r>
        <w:rPr>
          <w:rFonts w:ascii="Times New Roman" w:hAnsi="Times New Roman"/>
          <w:sz w:val="24"/>
          <w:szCs w:val="24"/>
        </w:rPr>
        <w:t xml:space="preserve">Дейностите по оползотворяване на отпадъци, които ще се извършват на обекта са класифицирани с кодове по Приложение </w:t>
      </w:r>
      <w:r>
        <w:rPr>
          <w:rFonts w:asciiTheme="minorEastAsia" w:hAnsiTheme="minorEastAsia" w:cstheme="minorEastAsia"/>
          <w:sz w:val="24"/>
          <w:szCs w:val="24"/>
        </w:rPr>
        <w:t xml:space="preserve">№ </w:t>
      </w:r>
      <w:r>
        <w:rPr>
          <w:rFonts w:ascii="Times New Roman" w:hAnsi="Times New Roman"/>
          <w:sz w:val="24"/>
          <w:szCs w:val="24"/>
        </w:rPr>
        <w:t>2 от ЗУО – съответно R2 (</w:t>
      </w:r>
      <w:r>
        <w:rPr>
          <w:rFonts w:ascii="Times New Roman" w:eastAsia="Times New Roman" w:hAnsi="Times New Roman"/>
          <w:sz w:val="24"/>
          <w:szCs w:val="24"/>
          <w:highlight w:val="white"/>
          <w:shd w:val="clear" w:color="auto" w:fill="FEFEFE"/>
        </w:rPr>
        <w:t>Възстановяване/регенериране на разтворители</w:t>
      </w:r>
      <w:r>
        <w:rPr>
          <w:rFonts w:ascii="Times New Roman" w:hAnsi="Times New Roman"/>
          <w:sz w:val="24"/>
          <w:szCs w:val="24"/>
        </w:rPr>
        <w:t>), R7 (Оползотворяване на компоненти, използвани за намаляване на замърсяването), R12 (Размяна на отпадъци за подлагане на някоя от дейностите с кодове R1 – R11) и R13 (съхраняване на отпадъци до извършване на която и да е от операциите по букви "а" - "м", освен временното съхраняване до събирането им от мястото на образуване).</w:t>
      </w:r>
    </w:p>
    <w:p w14:paraId="0B7CAE16" w14:textId="77777777" w:rsidR="00B06EAD" w:rsidRDefault="00D20EBD">
      <w:pPr>
        <w:spacing w:line="288" w:lineRule="auto"/>
        <w:ind w:right="-2"/>
        <w:jc w:val="both"/>
        <w:rPr>
          <w:rFonts w:ascii="Times New Roman" w:hAnsi="Times New Roman"/>
          <w:sz w:val="24"/>
          <w:szCs w:val="24"/>
        </w:rPr>
      </w:pPr>
      <w:r>
        <w:rPr>
          <w:rFonts w:ascii="Times New Roman" w:hAnsi="Times New Roman"/>
          <w:sz w:val="24"/>
          <w:szCs w:val="24"/>
        </w:rPr>
        <w:t xml:space="preserve">Съоръженията и технологията на обекта позволяват почистване на замърсени опаковки и  извличане, регенериране и пречистване на разтворители, съдържащи се в следните видове отпадъци с код и наименование по </w:t>
      </w:r>
      <w:r>
        <w:rPr>
          <w:rFonts w:ascii="Times New Roman" w:hAnsi="Times New Roman" w:cs="Times New Roman"/>
          <w:sz w:val="24"/>
          <w:szCs w:val="24"/>
        </w:rPr>
        <w:t>Наредба № 2 от 23.07.2014 г. за класификация на отпадъците</w:t>
      </w:r>
      <w:r>
        <w:rPr>
          <w:rFonts w:ascii="Times New Roman" w:hAnsi="Times New Roman"/>
          <w:sz w:val="24"/>
          <w:szCs w:val="24"/>
        </w:rPr>
        <w:t>:</w:t>
      </w:r>
    </w:p>
    <w:tbl>
      <w:tblPr>
        <w:tblW w:w="4850" w:type="pct"/>
        <w:tblLayout w:type="fixed"/>
        <w:tblLook w:val="04A0" w:firstRow="1" w:lastRow="0" w:firstColumn="1" w:lastColumn="0" w:noHBand="0" w:noVBand="1"/>
      </w:tblPr>
      <w:tblGrid>
        <w:gridCol w:w="816"/>
        <w:gridCol w:w="1014"/>
        <w:gridCol w:w="5859"/>
        <w:gridCol w:w="1594"/>
      </w:tblGrid>
      <w:tr w:rsidR="00B06EAD" w14:paraId="27240C52" w14:textId="77777777">
        <w:trPr>
          <w:trHeight w:val="885"/>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F2A3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Номер</w:t>
            </w:r>
          </w:p>
        </w:tc>
        <w:tc>
          <w:tcPr>
            <w:tcW w:w="991" w:type="dxa"/>
            <w:tcBorders>
              <w:top w:val="single" w:sz="4" w:space="0" w:color="000000"/>
              <w:bottom w:val="single" w:sz="4" w:space="0" w:color="000000"/>
              <w:right w:val="single" w:sz="4" w:space="0" w:color="000000"/>
            </w:tcBorders>
            <w:shd w:val="clear" w:color="auto" w:fill="auto"/>
            <w:vAlign w:val="center"/>
          </w:tcPr>
          <w:p w14:paraId="3173E1A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Код</w:t>
            </w:r>
          </w:p>
        </w:tc>
        <w:tc>
          <w:tcPr>
            <w:tcW w:w="5726" w:type="dxa"/>
            <w:tcBorders>
              <w:top w:val="single" w:sz="4" w:space="0" w:color="000000"/>
              <w:bottom w:val="single" w:sz="4" w:space="0" w:color="000000"/>
              <w:right w:val="single" w:sz="4" w:space="0" w:color="000000"/>
            </w:tcBorders>
            <w:shd w:val="clear" w:color="auto" w:fill="auto"/>
            <w:vAlign w:val="center"/>
          </w:tcPr>
          <w:p w14:paraId="45A5147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w:t>
            </w:r>
          </w:p>
        </w:tc>
        <w:tc>
          <w:tcPr>
            <w:tcW w:w="1558" w:type="dxa"/>
            <w:tcBorders>
              <w:top w:val="single" w:sz="4" w:space="0" w:color="000000"/>
              <w:bottom w:val="single" w:sz="4" w:space="0" w:color="000000"/>
              <w:right w:val="single" w:sz="4" w:space="0" w:color="000000"/>
            </w:tcBorders>
            <w:shd w:val="clear" w:color="auto" w:fill="auto"/>
            <w:vAlign w:val="center"/>
          </w:tcPr>
          <w:p w14:paraId="6910088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Операция по третиране </w:t>
            </w:r>
            <w:r>
              <w:rPr>
                <w:rFonts w:ascii="Times New Roman" w:hAnsi="Times New Roman"/>
                <w:sz w:val="18"/>
                <w:szCs w:val="18"/>
              </w:rPr>
              <w:t xml:space="preserve">по Приложение </w:t>
            </w:r>
            <w:r>
              <w:rPr>
                <w:rFonts w:asciiTheme="minorEastAsia" w:hAnsiTheme="minorEastAsia" w:cstheme="minorEastAsia"/>
                <w:sz w:val="18"/>
                <w:szCs w:val="18"/>
              </w:rPr>
              <w:t>№</w:t>
            </w:r>
            <w:r>
              <w:rPr>
                <w:rFonts w:ascii="Times New Roman" w:hAnsi="Times New Roman"/>
                <w:sz w:val="18"/>
                <w:szCs w:val="18"/>
              </w:rPr>
              <w:t>2 от ЗУО</w:t>
            </w:r>
          </w:p>
        </w:tc>
      </w:tr>
      <w:tr w:rsidR="00B06EAD" w14:paraId="0D4EA0B4"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CF96122" w14:textId="77777777" w:rsidR="00B06EAD" w:rsidRDefault="00D20EB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991" w:type="dxa"/>
            <w:tcBorders>
              <w:bottom w:val="single" w:sz="4" w:space="0" w:color="000000"/>
              <w:right w:val="single" w:sz="4" w:space="0" w:color="000000"/>
            </w:tcBorders>
            <w:shd w:val="clear" w:color="auto" w:fill="auto"/>
            <w:vAlign w:val="center"/>
          </w:tcPr>
          <w:p w14:paraId="761029C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01 01*</w:t>
            </w:r>
          </w:p>
        </w:tc>
        <w:tc>
          <w:tcPr>
            <w:tcW w:w="5726" w:type="dxa"/>
            <w:tcBorders>
              <w:bottom w:val="single" w:sz="4" w:space="0" w:color="000000"/>
              <w:right w:val="single" w:sz="4" w:space="0" w:color="000000"/>
            </w:tcBorders>
            <w:shd w:val="clear" w:color="auto" w:fill="auto"/>
            <w:vAlign w:val="center"/>
          </w:tcPr>
          <w:p w14:paraId="652045C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2221FF5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91BA91B"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C77CDEB" w14:textId="77777777" w:rsidR="00B06EAD" w:rsidRDefault="00B06EAD">
            <w:pPr>
              <w:pStyle w:val="af5"/>
              <w:widowControl w:val="0"/>
              <w:numPr>
                <w:ilvl w:val="0"/>
                <w:numId w:val="1"/>
              </w:numPr>
              <w:spacing w:after="0" w:line="240" w:lineRule="auto"/>
              <w:ind w:left="714" w:hanging="357"/>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B23708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01 03*</w:t>
            </w:r>
          </w:p>
        </w:tc>
        <w:tc>
          <w:tcPr>
            <w:tcW w:w="5726" w:type="dxa"/>
            <w:tcBorders>
              <w:bottom w:val="single" w:sz="4" w:space="0" w:color="000000"/>
              <w:right w:val="single" w:sz="4" w:space="0" w:color="000000"/>
            </w:tcBorders>
            <w:shd w:val="clear" w:color="auto" w:fill="auto"/>
            <w:vAlign w:val="center"/>
          </w:tcPr>
          <w:p w14:paraId="59A017A6"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6DB80EC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4F1331A"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5334F4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C75CBF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01 04*</w:t>
            </w:r>
          </w:p>
        </w:tc>
        <w:tc>
          <w:tcPr>
            <w:tcW w:w="5726" w:type="dxa"/>
            <w:tcBorders>
              <w:bottom w:val="single" w:sz="4" w:space="0" w:color="000000"/>
              <w:right w:val="single" w:sz="4" w:space="0" w:color="000000"/>
            </w:tcBorders>
            <w:shd w:val="clear" w:color="auto" w:fill="auto"/>
            <w:vAlign w:val="center"/>
          </w:tcPr>
          <w:p w14:paraId="2E1E5C6F"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5DCCCD6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35F9D06"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4422CE3"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9C0BC0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01 07*</w:t>
            </w:r>
          </w:p>
        </w:tc>
        <w:tc>
          <w:tcPr>
            <w:tcW w:w="5726" w:type="dxa"/>
            <w:tcBorders>
              <w:bottom w:val="single" w:sz="4" w:space="0" w:color="000000"/>
              <w:right w:val="single" w:sz="4" w:space="0" w:color="000000"/>
            </w:tcBorders>
            <w:shd w:val="clear" w:color="auto" w:fill="auto"/>
            <w:vAlign w:val="center"/>
          </w:tcPr>
          <w:p w14:paraId="71FA6841"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2E7E6E7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B98FC5F"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617BCF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7B8CB5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01 08*</w:t>
            </w:r>
          </w:p>
        </w:tc>
        <w:tc>
          <w:tcPr>
            <w:tcW w:w="5726" w:type="dxa"/>
            <w:tcBorders>
              <w:bottom w:val="single" w:sz="4" w:space="0" w:color="000000"/>
              <w:right w:val="single" w:sz="4" w:space="0" w:color="000000"/>
            </w:tcBorders>
            <w:shd w:val="clear" w:color="auto" w:fill="auto"/>
            <w:vAlign w:val="center"/>
          </w:tcPr>
          <w:p w14:paraId="275C7A6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21D0A00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DD1DB9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716A6B3"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B05E0D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01*</w:t>
            </w:r>
          </w:p>
        </w:tc>
        <w:tc>
          <w:tcPr>
            <w:tcW w:w="5726" w:type="dxa"/>
            <w:tcBorders>
              <w:bottom w:val="single" w:sz="4" w:space="0" w:color="000000"/>
              <w:right w:val="single" w:sz="4" w:space="0" w:color="000000"/>
            </w:tcBorders>
            <w:shd w:val="clear" w:color="auto" w:fill="auto"/>
            <w:vAlign w:val="center"/>
          </w:tcPr>
          <w:p w14:paraId="0B907533"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3FECE31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A01C816"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6E182E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4678BF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03*</w:t>
            </w:r>
          </w:p>
        </w:tc>
        <w:tc>
          <w:tcPr>
            <w:tcW w:w="5726" w:type="dxa"/>
            <w:tcBorders>
              <w:bottom w:val="single" w:sz="4" w:space="0" w:color="000000"/>
              <w:right w:val="single" w:sz="4" w:space="0" w:color="000000"/>
            </w:tcBorders>
            <w:shd w:val="clear" w:color="auto" w:fill="auto"/>
            <w:vAlign w:val="center"/>
          </w:tcPr>
          <w:p w14:paraId="53727267"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689BBF2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E20EC23"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5CA4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690F1C2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04*</w:t>
            </w:r>
          </w:p>
        </w:tc>
        <w:tc>
          <w:tcPr>
            <w:tcW w:w="5726" w:type="dxa"/>
            <w:tcBorders>
              <w:top w:val="single" w:sz="4" w:space="0" w:color="000000"/>
              <w:bottom w:val="single" w:sz="4" w:space="0" w:color="000000"/>
              <w:right w:val="single" w:sz="4" w:space="0" w:color="000000"/>
            </w:tcBorders>
            <w:shd w:val="clear" w:color="auto" w:fill="auto"/>
            <w:vAlign w:val="center"/>
          </w:tcPr>
          <w:p w14:paraId="03B6F95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top w:val="single" w:sz="4" w:space="0" w:color="000000"/>
              <w:bottom w:val="single" w:sz="4" w:space="0" w:color="000000"/>
              <w:right w:val="single" w:sz="4" w:space="0" w:color="000000"/>
            </w:tcBorders>
            <w:shd w:val="clear" w:color="auto" w:fill="auto"/>
            <w:vAlign w:val="center"/>
          </w:tcPr>
          <w:p w14:paraId="1D87CF1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9A67042"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FF6C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0F7BC22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07*</w:t>
            </w:r>
          </w:p>
        </w:tc>
        <w:tc>
          <w:tcPr>
            <w:tcW w:w="5726" w:type="dxa"/>
            <w:tcBorders>
              <w:top w:val="single" w:sz="4" w:space="0" w:color="000000"/>
              <w:bottom w:val="single" w:sz="4" w:space="0" w:color="000000"/>
              <w:right w:val="single" w:sz="4" w:space="0" w:color="000000"/>
            </w:tcBorders>
            <w:shd w:val="clear" w:color="auto" w:fill="auto"/>
            <w:vAlign w:val="center"/>
          </w:tcPr>
          <w:p w14:paraId="19D44E67"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top w:val="single" w:sz="4" w:space="0" w:color="000000"/>
              <w:bottom w:val="single" w:sz="4" w:space="0" w:color="000000"/>
              <w:right w:val="single" w:sz="4" w:space="0" w:color="000000"/>
            </w:tcBorders>
            <w:shd w:val="clear" w:color="auto" w:fill="auto"/>
            <w:vAlign w:val="center"/>
          </w:tcPr>
          <w:p w14:paraId="00D07F0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2A3624C"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D74B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27E33C2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08*</w:t>
            </w:r>
          </w:p>
        </w:tc>
        <w:tc>
          <w:tcPr>
            <w:tcW w:w="5726" w:type="dxa"/>
            <w:tcBorders>
              <w:top w:val="single" w:sz="4" w:space="0" w:color="000000"/>
              <w:bottom w:val="single" w:sz="4" w:space="0" w:color="000000"/>
              <w:right w:val="single" w:sz="4" w:space="0" w:color="000000"/>
            </w:tcBorders>
            <w:shd w:val="clear" w:color="auto" w:fill="auto"/>
            <w:vAlign w:val="center"/>
          </w:tcPr>
          <w:p w14:paraId="5387ED20"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top w:val="single" w:sz="4" w:space="0" w:color="000000"/>
              <w:bottom w:val="single" w:sz="4" w:space="0" w:color="000000"/>
              <w:right w:val="single" w:sz="4" w:space="0" w:color="000000"/>
            </w:tcBorders>
            <w:shd w:val="clear" w:color="auto" w:fill="auto"/>
            <w:vAlign w:val="center"/>
          </w:tcPr>
          <w:p w14:paraId="20A0C49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ABEDE89"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EDE57"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2CA49C8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02 14*</w:t>
            </w:r>
          </w:p>
        </w:tc>
        <w:tc>
          <w:tcPr>
            <w:tcW w:w="5726" w:type="dxa"/>
            <w:tcBorders>
              <w:top w:val="single" w:sz="4" w:space="0" w:color="000000"/>
              <w:bottom w:val="single" w:sz="4" w:space="0" w:color="000000"/>
              <w:right w:val="single" w:sz="4" w:space="0" w:color="000000"/>
            </w:tcBorders>
            <w:shd w:val="clear" w:color="auto" w:fill="auto"/>
            <w:vAlign w:val="center"/>
          </w:tcPr>
          <w:p w14:paraId="4216AB1C"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отпадъци от добавки, съдържащи опасни вещества</w:t>
            </w:r>
          </w:p>
        </w:tc>
        <w:tc>
          <w:tcPr>
            <w:tcW w:w="1558" w:type="dxa"/>
            <w:tcBorders>
              <w:top w:val="single" w:sz="4" w:space="0" w:color="000000"/>
              <w:bottom w:val="single" w:sz="4" w:space="0" w:color="000000"/>
              <w:right w:val="single" w:sz="4" w:space="0" w:color="000000"/>
            </w:tcBorders>
            <w:shd w:val="clear" w:color="auto" w:fill="auto"/>
            <w:vAlign w:val="center"/>
          </w:tcPr>
          <w:p w14:paraId="7AAF1B7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3D60DCC"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76BE9E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1FA709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03 01*</w:t>
            </w:r>
          </w:p>
        </w:tc>
        <w:tc>
          <w:tcPr>
            <w:tcW w:w="5726" w:type="dxa"/>
            <w:tcBorders>
              <w:bottom w:val="single" w:sz="4" w:space="0" w:color="000000"/>
              <w:right w:val="single" w:sz="4" w:space="0" w:color="000000"/>
            </w:tcBorders>
            <w:shd w:val="clear" w:color="auto" w:fill="auto"/>
            <w:vAlign w:val="center"/>
          </w:tcPr>
          <w:p w14:paraId="7FBCE5CD"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0CC8F11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03E389E"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5DC0A0D"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57A5E6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03 03*</w:t>
            </w:r>
          </w:p>
        </w:tc>
        <w:tc>
          <w:tcPr>
            <w:tcW w:w="5726" w:type="dxa"/>
            <w:tcBorders>
              <w:bottom w:val="single" w:sz="4" w:space="0" w:color="000000"/>
              <w:right w:val="single" w:sz="4" w:space="0" w:color="000000"/>
            </w:tcBorders>
            <w:shd w:val="clear" w:color="auto" w:fill="auto"/>
            <w:vAlign w:val="center"/>
          </w:tcPr>
          <w:p w14:paraId="328377EB"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789C538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F01E8A8"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E0ECA9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87D9C8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03 04*</w:t>
            </w:r>
          </w:p>
        </w:tc>
        <w:tc>
          <w:tcPr>
            <w:tcW w:w="5726" w:type="dxa"/>
            <w:tcBorders>
              <w:bottom w:val="single" w:sz="4" w:space="0" w:color="000000"/>
              <w:right w:val="single" w:sz="4" w:space="0" w:color="000000"/>
            </w:tcBorders>
            <w:shd w:val="clear" w:color="auto" w:fill="auto"/>
            <w:vAlign w:val="center"/>
          </w:tcPr>
          <w:p w14:paraId="35EAB2F2"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07DFC7D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F9A8424"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7474A4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4FA3A9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03 07*</w:t>
            </w:r>
          </w:p>
        </w:tc>
        <w:tc>
          <w:tcPr>
            <w:tcW w:w="5726" w:type="dxa"/>
            <w:tcBorders>
              <w:bottom w:val="single" w:sz="4" w:space="0" w:color="000000"/>
              <w:right w:val="single" w:sz="4" w:space="0" w:color="000000"/>
            </w:tcBorders>
            <w:shd w:val="clear" w:color="auto" w:fill="auto"/>
            <w:vAlign w:val="center"/>
          </w:tcPr>
          <w:p w14:paraId="0EA5E1B6"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0CD0C17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449337D"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5CC1C5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2268F9F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03 08*</w:t>
            </w:r>
          </w:p>
        </w:tc>
        <w:tc>
          <w:tcPr>
            <w:tcW w:w="5726" w:type="dxa"/>
            <w:tcBorders>
              <w:bottom w:val="single" w:sz="4" w:space="0" w:color="000000"/>
              <w:right w:val="single" w:sz="4" w:space="0" w:color="000000"/>
            </w:tcBorders>
            <w:shd w:val="clear" w:color="auto" w:fill="auto"/>
            <w:vAlign w:val="center"/>
          </w:tcPr>
          <w:p w14:paraId="304A854C"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35E8852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AF84E52"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74901B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6D402B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04 01*</w:t>
            </w:r>
          </w:p>
        </w:tc>
        <w:tc>
          <w:tcPr>
            <w:tcW w:w="5726" w:type="dxa"/>
            <w:tcBorders>
              <w:bottom w:val="single" w:sz="4" w:space="0" w:color="000000"/>
              <w:right w:val="single" w:sz="4" w:space="0" w:color="000000"/>
            </w:tcBorders>
            <w:shd w:val="clear" w:color="auto" w:fill="auto"/>
            <w:vAlign w:val="center"/>
          </w:tcPr>
          <w:p w14:paraId="4E788DD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01E5E11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E36DE1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2E1976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3792AE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04 03*</w:t>
            </w:r>
          </w:p>
        </w:tc>
        <w:tc>
          <w:tcPr>
            <w:tcW w:w="5726" w:type="dxa"/>
            <w:tcBorders>
              <w:bottom w:val="single" w:sz="4" w:space="0" w:color="000000"/>
              <w:right w:val="single" w:sz="4" w:space="0" w:color="000000"/>
            </w:tcBorders>
            <w:shd w:val="clear" w:color="auto" w:fill="auto"/>
            <w:vAlign w:val="center"/>
          </w:tcPr>
          <w:p w14:paraId="4A6F780B"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315D2A9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A49966A"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9F2AA8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D86357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04 04*</w:t>
            </w:r>
          </w:p>
        </w:tc>
        <w:tc>
          <w:tcPr>
            <w:tcW w:w="5726" w:type="dxa"/>
            <w:tcBorders>
              <w:bottom w:val="single" w:sz="4" w:space="0" w:color="000000"/>
              <w:right w:val="single" w:sz="4" w:space="0" w:color="000000"/>
            </w:tcBorders>
            <w:shd w:val="clear" w:color="auto" w:fill="auto"/>
            <w:vAlign w:val="center"/>
          </w:tcPr>
          <w:p w14:paraId="50BE30CF"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2B63448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196CA99"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41C150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45FBA6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04 07*</w:t>
            </w:r>
          </w:p>
        </w:tc>
        <w:tc>
          <w:tcPr>
            <w:tcW w:w="5726" w:type="dxa"/>
            <w:tcBorders>
              <w:bottom w:val="single" w:sz="4" w:space="0" w:color="000000"/>
              <w:right w:val="single" w:sz="4" w:space="0" w:color="000000"/>
            </w:tcBorders>
            <w:shd w:val="clear" w:color="auto" w:fill="auto"/>
            <w:vAlign w:val="center"/>
          </w:tcPr>
          <w:p w14:paraId="377F1434"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2136E25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68AE562"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0E72DF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FDC3E0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04 08*</w:t>
            </w:r>
          </w:p>
        </w:tc>
        <w:tc>
          <w:tcPr>
            <w:tcW w:w="5726" w:type="dxa"/>
            <w:tcBorders>
              <w:bottom w:val="single" w:sz="4" w:space="0" w:color="000000"/>
              <w:right w:val="single" w:sz="4" w:space="0" w:color="000000"/>
            </w:tcBorders>
            <w:shd w:val="clear" w:color="auto" w:fill="auto"/>
            <w:vAlign w:val="center"/>
          </w:tcPr>
          <w:p w14:paraId="1F440A01"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1040871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F996768"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98E8F48"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D1B9D3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01*</w:t>
            </w:r>
          </w:p>
        </w:tc>
        <w:tc>
          <w:tcPr>
            <w:tcW w:w="5726" w:type="dxa"/>
            <w:tcBorders>
              <w:bottom w:val="single" w:sz="4" w:space="0" w:color="000000"/>
              <w:right w:val="single" w:sz="4" w:space="0" w:color="000000"/>
            </w:tcBorders>
            <w:shd w:val="clear" w:color="auto" w:fill="auto"/>
            <w:vAlign w:val="center"/>
          </w:tcPr>
          <w:p w14:paraId="476B1B93"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730DB30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1C7D559"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B21019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C46944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03*</w:t>
            </w:r>
          </w:p>
        </w:tc>
        <w:tc>
          <w:tcPr>
            <w:tcW w:w="5726" w:type="dxa"/>
            <w:tcBorders>
              <w:bottom w:val="single" w:sz="4" w:space="0" w:color="000000"/>
              <w:right w:val="single" w:sz="4" w:space="0" w:color="000000"/>
            </w:tcBorders>
            <w:shd w:val="clear" w:color="auto" w:fill="auto"/>
            <w:vAlign w:val="center"/>
          </w:tcPr>
          <w:p w14:paraId="6AB28DCD"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5EF6EBF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708064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A509704"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0BE4C9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04*</w:t>
            </w:r>
          </w:p>
        </w:tc>
        <w:tc>
          <w:tcPr>
            <w:tcW w:w="5726" w:type="dxa"/>
            <w:tcBorders>
              <w:bottom w:val="single" w:sz="4" w:space="0" w:color="000000"/>
              <w:right w:val="single" w:sz="4" w:space="0" w:color="000000"/>
            </w:tcBorders>
            <w:shd w:val="clear" w:color="auto" w:fill="auto"/>
            <w:vAlign w:val="center"/>
          </w:tcPr>
          <w:p w14:paraId="4F8C47E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53AEE15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02E4B49A"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9E57756"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31FD1D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07*</w:t>
            </w:r>
          </w:p>
        </w:tc>
        <w:tc>
          <w:tcPr>
            <w:tcW w:w="5726" w:type="dxa"/>
            <w:tcBorders>
              <w:bottom w:val="single" w:sz="4" w:space="0" w:color="000000"/>
              <w:right w:val="single" w:sz="4" w:space="0" w:color="000000"/>
            </w:tcBorders>
            <w:shd w:val="clear" w:color="auto" w:fill="auto"/>
            <w:vAlign w:val="center"/>
          </w:tcPr>
          <w:p w14:paraId="36C31142"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7479E21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B655FFD"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AF13CC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3B681E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08*</w:t>
            </w:r>
          </w:p>
        </w:tc>
        <w:tc>
          <w:tcPr>
            <w:tcW w:w="5726" w:type="dxa"/>
            <w:tcBorders>
              <w:bottom w:val="single" w:sz="4" w:space="0" w:color="000000"/>
              <w:right w:val="single" w:sz="4" w:space="0" w:color="000000"/>
            </w:tcBorders>
            <w:shd w:val="clear" w:color="auto" w:fill="auto"/>
            <w:vAlign w:val="center"/>
          </w:tcPr>
          <w:p w14:paraId="7BA26E4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216E9C0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BF702E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B202867"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BBAD9C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09*</w:t>
            </w:r>
          </w:p>
        </w:tc>
        <w:tc>
          <w:tcPr>
            <w:tcW w:w="5726" w:type="dxa"/>
            <w:tcBorders>
              <w:bottom w:val="single" w:sz="4" w:space="0" w:color="000000"/>
              <w:right w:val="single" w:sz="4" w:space="0" w:color="000000"/>
            </w:tcBorders>
            <w:shd w:val="clear" w:color="auto" w:fill="auto"/>
            <w:vAlign w:val="center"/>
          </w:tcPr>
          <w:p w14:paraId="5A4253FB"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филтърни </w:t>
            </w:r>
            <w:proofErr w:type="spellStart"/>
            <w:r>
              <w:rPr>
                <w:rFonts w:ascii="Times New Roman" w:eastAsia="Times New Roman" w:hAnsi="Times New Roman" w:cs="Times New Roman"/>
                <w:sz w:val="18"/>
                <w:szCs w:val="18"/>
              </w:rPr>
              <w:t>кекове</w:t>
            </w:r>
            <w:proofErr w:type="spellEnd"/>
            <w:r>
              <w:rPr>
                <w:rFonts w:ascii="Times New Roman" w:eastAsia="Times New Roman" w:hAnsi="Times New Roman" w:cs="Times New Roman"/>
                <w:sz w:val="18"/>
                <w:szCs w:val="18"/>
              </w:rPr>
              <w:t xml:space="preserve"> и отработени </w:t>
            </w:r>
            <w:proofErr w:type="spellStart"/>
            <w:r>
              <w:rPr>
                <w:rFonts w:ascii="Times New Roman" w:eastAsia="Times New Roman" w:hAnsi="Times New Roman" w:cs="Times New Roman"/>
                <w:sz w:val="18"/>
                <w:szCs w:val="18"/>
              </w:rPr>
              <w:t>абсорбенти</w:t>
            </w:r>
            <w:proofErr w:type="spellEnd"/>
          </w:p>
        </w:tc>
        <w:tc>
          <w:tcPr>
            <w:tcW w:w="1558" w:type="dxa"/>
            <w:tcBorders>
              <w:bottom w:val="single" w:sz="4" w:space="0" w:color="000000"/>
              <w:right w:val="single" w:sz="4" w:space="0" w:color="000000"/>
            </w:tcBorders>
            <w:shd w:val="clear" w:color="auto" w:fill="auto"/>
            <w:vAlign w:val="center"/>
          </w:tcPr>
          <w:p w14:paraId="3D9C9B1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17810D0"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E36EBDA"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C02C9C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05 10*</w:t>
            </w:r>
          </w:p>
        </w:tc>
        <w:tc>
          <w:tcPr>
            <w:tcW w:w="5726" w:type="dxa"/>
            <w:tcBorders>
              <w:bottom w:val="single" w:sz="4" w:space="0" w:color="000000"/>
              <w:right w:val="single" w:sz="4" w:space="0" w:color="000000"/>
            </w:tcBorders>
            <w:shd w:val="clear" w:color="auto" w:fill="auto"/>
            <w:vAlign w:val="center"/>
          </w:tcPr>
          <w:p w14:paraId="4204EC35"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други филтърни </w:t>
            </w:r>
            <w:proofErr w:type="spellStart"/>
            <w:r>
              <w:rPr>
                <w:rFonts w:ascii="Times New Roman" w:eastAsia="Times New Roman" w:hAnsi="Times New Roman" w:cs="Times New Roman"/>
                <w:sz w:val="18"/>
                <w:szCs w:val="18"/>
              </w:rPr>
              <w:t>кекове</w:t>
            </w:r>
            <w:proofErr w:type="spellEnd"/>
            <w:r>
              <w:rPr>
                <w:rFonts w:ascii="Times New Roman" w:eastAsia="Times New Roman" w:hAnsi="Times New Roman" w:cs="Times New Roman"/>
                <w:sz w:val="18"/>
                <w:szCs w:val="18"/>
              </w:rPr>
              <w:t xml:space="preserve"> и отработени </w:t>
            </w:r>
            <w:proofErr w:type="spellStart"/>
            <w:r>
              <w:rPr>
                <w:rFonts w:ascii="Times New Roman" w:eastAsia="Times New Roman" w:hAnsi="Times New Roman" w:cs="Times New Roman"/>
                <w:sz w:val="18"/>
                <w:szCs w:val="18"/>
              </w:rPr>
              <w:t>абсорбенти</w:t>
            </w:r>
            <w:proofErr w:type="spellEnd"/>
          </w:p>
        </w:tc>
        <w:tc>
          <w:tcPr>
            <w:tcW w:w="1558" w:type="dxa"/>
            <w:tcBorders>
              <w:bottom w:val="single" w:sz="4" w:space="0" w:color="000000"/>
              <w:right w:val="single" w:sz="4" w:space="0" w:color="000000"/>
            </w:tcBorders>
            <w:shd w:val="clear" w:color="auto" w:fill="auto"/>
            <w:vAlign w:val="center"/>
          </w:tcPr>
          <w:p w14:paraId="51E6773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B6298FE"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629A5E6"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6CE341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06 01*</w:t>
            </w:r>
          </w:p>
        </w:tc>
        <w:tc>
          <w:tcPr>
            <w:tcW w:w="5726" w:type="dxa"/>
            <w:tcBorders>
              <w:bottom w:val="single" w:sz="4" w:space="0" w:color="000000"/>
              <w:right w:val="single" w:sz="4" w:space="0" w:color="000000"/>
            </w:tcBorders>
            <w:shd w:val="clear" w:color="auto" w:fill="auto"/>
            <w:vAlign w:val="center"/>
          </w:tcPr>
          <w:p w14:paraId="6FB0E710"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709D3E0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48F86FD"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367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00FB610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06 03*</w:t>
            </w:r>
          </w:p>
        </w:tc>
        <w:tc>
          <w:tcPr>
            <w:tcW w:w="5726" w:type="dxa"/>
            <w:tcBorders>
              <w:top w:val="single" w:sz="4" w:space="0" w:color="000000"/>
              <w:bottom w:val="single" w:sz="4" w:space="0" w:color="000000"/>
              <w:right w:val="single" w:sz="4" w:space="0" w:color="000000"/>
            </w:tcBorders>
            <w:shd w:val="clear" w:color="auto" w:fill="auto"/>
            <w:vAlign w:val="center"/>
          </w:tcPr>
          <w:p w14:paraId="46C6410E"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top w:val="single" w:sz="4" w:space="0" w:color="000000"/>
              <w:bottom w:val="single" w:sz="4" w:space="0" w:color="000000"/>
              <w:right w:val="single" w:sz="4" w:space="0" w:color="000000"/>
            </w:tcBorders>
            <w:shd w:val="clear" w:color="auto" w:fill="auto"/>
            <w:vAlign w:val="center"/>
          </w:tcPr>
          <w:p w14:paraId="3EBA851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179CCAF"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A590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16760F1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06 04*</w:t>
            </w:r>
          </w:p>
        </w:tc>
        <w:tc>
          <w:tcPr>
            <w:tcW w:w="5726" w:type="dxa"/>
            <w:tcBorders>
              <w:top w:val="single" w:sz="4" w:space="0" w:color="000000"/>
              <w:bottom w:val="single" w:sz="4" w:space="0" w:color="000000"/>
              <w:right w:val="single" w:sz="4" w:space="0" w:color="000000"/>
            </w:tcBorders>
            <w:shd w:val="clear" w:color="auto" w:fill="auto"/>
            <w:vAlign w:val="center"/>
          </w:tcPr>
          <w:p w14:paraId="4A2E1CB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top w:val="single" w:sz="4" w:space="0" w:color="000000"/>
              <w:bottom w:val="single" w:sz="4" w:space="0" w:color="000000"/>
              <w:right w:val="single" w:sz="4" w:space="0" w:color="000000"/>
            </w:tcBorders>
            <w:shd w:val="clear" w:color="auto" w:fill="auto"/>
            <w:vAlign w:val="center"/>
          </w:tcPr>
          <w:p w14:paraId="6610116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51C4A8B"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04A2"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16F4710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06 07*</w:t>
            </w:r>
          </w:p>
        </w:tc>
        <w:tc>
          <w:tcPr>
            <w:tcW w:w="5726" w:type="dxa"/>
            <w:tcBorders>
              <w:top w:val="single" w:sz="4" w:space="0" w:color="000000"/>
              <w:bottom w:val="single" w:sz="4" w:space="0" w:color="000000"/>
              <w:right w:val="single" w:sz="4" w:space="0" w:color="000000"/>
            </w:tcBorders>
            <w:shd w:val="clear" w:color="auto" w:fill="auto"/>
            <w:vAlign w:val="center"/>
          </w:tcPr>
          <w:p w14:paraId="3AA0D988"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top w:val="single" w:sz="4" w:space="0" w:color="000000"/>
              <w:bottom w:val="single" w:sz="4" w:space="0" w:color="000000"/>
              <w:right w:val="single" w:sz="4" w:space="0" w:color="000000"/>
            </w:tcBorders>
            <w:shd w:val="clear" w:color="auto" w:fill="auto"/>
            <w:vAlign w:val="center"/>
          </w:tcPr>
          <w:p w14:paraId="47C614E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BAC2BC1"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4768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1E25316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06 08*</w:t>
            </w:r>
          </w:p>
        </w:tc>
        <w:tc>
          <w:tcPr>
            <w:tcW w:w="5726" w:type="dxa"/>
            <w:tcBorders>
              <w:top w:val="single" w:sz="4" w:space="0" w:color="000000"/>
              <w:bottom w:val="single" w:sz="4" w:space="0" w:color="000000"/>
              <w:right w:val="single" w:sz="4" w:space="0" w:color="000000"/>
            </w:tcBorders>
            <w:shd w:val="clear" w:color="auto" w:fill="auto"/>
            <w:vAlign w:val="center"/>
          </w:tcPr>
          <w:p w14:paraId="13E51429"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top w:val="single" w:sz="4" w:space="0" w:color="000000"/>
              <w:bottom w:val="single" w:sz="4" w:space="0" w:color="000000"/>
              <w:right w:val="single" w:sz="4" w:space="0" w:color="000000"/>
            </w:tcBorders>
            <w:shd w:val="clear" w:color="auto" w:fill="auto"/>
            <w:vAlign w:val="center"/>
          </w:tcPr>
          <w:p w14:paraId="5643374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AE2750D"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7177536"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9F87A3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07 01*</w:t>
            </w:r>
          </w:p>
        </w:tc>
        <w:tc>
          <w:tcPr>
            <w:tcW w:w="5726" w:type="dxa"/>
            <w:tcBorders>
              <w:bottom w:val="single" w:sz="4" w:space="0" w:color="000000"/>
              <w:right w:val="single" w:sz="4" w:space="0" w:color="000000"/>
            </w:tcBorders>
            <w:shd w:val="clear" w:color="auto" w:fill="auto"/>
            <w:vAlign w:val="center"/>
          </w:tcPr>
          <w:p w14:paraId="7C76B6B9"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промивни води и матерни луги</w:t>
            </w:r>
          </w:p>
        </w:tc>
        <w:tc>
          <w:tcPr>
            <w:tcW w:w="1558" w:type="dxa"/>
            <w:tcBorders>
              <w:bottom w:val="single" w:sz="4" w:space="0" w:color="000000"/>
              <w:right w:val="single" w:sz="4" w:space="0" w:color="000000"/>
            </w:tcBorders>
            <w:shd w:val="clear" w:color="auto" w:fill="auto"/>
            <w:vAlign w:val="center"/>
          </w:tcPr>
          <w:p w14:paraId="714CD05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E4EED41"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CB1318A"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4C64F5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07 03*</w:t>
            </w:r>
          </w:p>
        </w:tc>
        <w:tc>
          <w:tcPr>
            <w:tcW w:w="5726" w:type="dxa"/>
            <w:tcBorders>
              <w:bottom w:val="single" w:sz="4" w:space="0" w:color="000000"/>
              <w:right w:val="single" w:sz="4" w:space="0" w:color="000000"/>
            </w:tcBorders>
            <w:shd w:val="clear" w:color="auto" w:fill="auto"/>
            <w:vAlign w:val="center"/>
          </w:tcPr>
          <w:p w14:paraId="06DF0FD5"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366F139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4D7B9EE"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4F0C45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3A7E18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07 04*</w:t>
            </w:r>
          </w:p>
        </w:tc>
        <w:tc>
          <w:tcPr>
            <w:tcW w:w="5726" w:type="dxa"/>
            <w:tcBorders>
              <w:bottom w:val="single" w:sz="4" w:space="0" w:color="000000"/>
              <w:right w:val="single" w:sz="4" w:space="0" w:color="000000"/>
            </w:tcBorders>
            <w:shd w:val="clear" w:color="auto" w:fill="auto"/>
            <w:vAlign w:val="center"/>
          </w:tcPr>
          <w:p w14:paraId="0A8458FB"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органични разтворители, промивни течности и матерни луги</w:t>
            </w:r>
          </w:p>
        </w:tc>
        <w:tc>
          <w:tcPr>
            <w:tcW w:w="1558" w:type="dxa"/>
            <w:tcBorders>
              <w:bottom w:val="single" w:sz="4" w:space="0" w:color="000000"/>
              <w:right w:val="single" w:sz="4" w:space="0" w:color="000000"/>
            </w:tcBorders>
            <w:shd w:val="clear" w:color="auto" w:fill="auto"/>
            <w:vAlign w:val="center"/>
          </w:tcPr>
          <w:p w14:paraId="125653C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515879C"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33049662"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20A0CE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07 07*</w:t>
            </w:r>
          </w:p>
        </w:tc>
        <w:tc>
          <w:tcPr>
            <w:tcW w:w="5726" w:type="dxa"/>
            <w:tcBorders>
              <w:bottom w:val="single" w:sz="4" w:space="0" w:color="000000"/>
              <w:right w:val="single" w:sz="4" w:space="0" w:color="000000"/>
            </w:tcBorders>
            <w:shd w:val="clear" w:color="auto" w:fill="auto"/>
            <w:vAlign w:val="center"/>
          </w:tcPr>
          <w:p w14:paraId="669E2248"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5B96039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46751BC"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60042E3"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312E8C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07 07 08*</w:t>
            </w:r>
          </w:p>
        </w:tc>
        <w:tc>
          <w:tcPr>
            <w:tcW w:w="5726" w:type="dxa"/>
            <w:tcBorders>
              <w:bottom w:val="single" w:sz="4" w:space="0" w:color="000000"/>
              <w:right w:val="single" w:sz="4" w:space="0" w:color="000000"/>
            </w:tcBorders>
            <w:shd w:val="clear" w:color="auto" w:fill="auto"/>
            <w:vAlign w:val="center"/>
          </w:tcPr>
          <w:p w14:paraId="57795D8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остатъци от дестилация и остатъци от реакции</w:t>
            </w:r>
          </w:p>
        </w:tc>
        <w:tc>
          <w:tcPr>
            <w:tcW w:w="1558" w:type="dxa"/>
            <w:tcBorders>
              <w:bottom w:val="single" w:sz="4" w:space="0" w:color="000000"/>
              <w:right w:val="single" w:sz="4" w:space="0" w:color="000000"/>
            </w:tcBorders>
            <w:shd w:val="clear" w:color="auto" w:fill="auto"/>
            <w:vAlign w:val="center"/>
          </w:tcPr>
          <w:p w14:paraId="6606F80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4E6ECC8"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AB75D8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78CFCA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11*</w:t>
            </w:r>
          </w:p>
        </w:tc>
        <w:tc>
          <w:tcPr>
            <w:tcW w:w="5726" w:type="dxa"/>
            <w:tcBorders>
              <w:bottom w:val="single" w:sz="4" w:space="0" w:color="000000"/>
              <w:right w:val="single" w:sz="4" w:space="0" w:color="000000"/>
            </w:tcBorders>
            <w:shd w:val="clear" w:color="auto" w:fill="auto"/>
            <w:vAlign w:val="center"/>
          </w:tcPr>
          <w:p w14:paraId="26C4A9FF"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бои и лакове,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61BA58A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CA8B414"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A169BC1"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06238E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08 01 12</w:t>
            </w:r>
          </w:p>
        </w:tc>
        <w:tc>
          <w:tcPr>
            <w:tcW w:w="5726" w:type="dxa"/>
            <w:tcBorders>
              <w:bottom w:val="single" w:sz="4" w:space="0" w:color="000000"/>
              <w:right w:val="single" w:sz="4" w:space="0" w:color="000000"/>
            </w:tcBorders>
            <w:shd w:val="clear" w:color="auto" w:fill="auto"/>
            <w:vAlign w:val="center"/>
          </w:tcPr>
          <w:p w14:paraId="532E683C"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бои или лакове, различни от упоменатите в 08 01 11</w:t>
            </w:r>
          </w:p>
        </w:tc>
        <w:tc>
          <w:tcPr>
            <w:tcW w:w="1558" w:type="dxa"/>
            <w:tcBorders>
              <w:bottom w:val="single" w:sz="4" w:space="0" w:color="000000"/>
              <w:right w:val="single" w:sz="4" w:space="0" w:color="000000"/>
            </w:tcBorders>
            <w:shd w:val="clear" w:color="auto" w:fill="auto"/>
            <w:vAlign w:val="center"/>
          </w:tcPr>
          <w:p w14:paraId="3661AFF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D1CDEDF"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F114E3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5F168F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13*</w:t>
            </w:r>
          </w:p>
        </w:tc>
        <w:tc>
          <w:tcPr>
            <w:tcW w:w="5726" w:type="dxa"/>
            <w:tcBorders>
              <w:bottom w:val="single" w:sz="4" w:space="0" w:color="000000"/>
              <w:right w:val="single" w:sz="4" w:space="0" w:color="000000"/>
            </w:tcBorders>
            <w:shd w:val="clear" w:color="auto" w:fill="auto"/>
            <w:vAlign w:val="center"/>
          </w:tcPr>
          <w:p w14:paraId="7955C52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бои или лакове,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6A78F35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CFC4F40"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79EF1A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7AA131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08 01 14</w:t>
            </w:r>
          </w:p>
        </w:tc>
        <w:tc>
          <w:tcPr>
            <w:tcW w:w="5726" w:type="dxa"/>
            <w:tcBorders>
              <w:bottom w:val="single" w:sz="4" w:space="0" w:color="000000"/>
              <w:right w:val="single" w:sz="4" w:space="0" w:color="000000"/>
            </w:tcBorders>
            <w:shd w:val="clear" w:color="auto" w:fill="auto"/>
            <w:vAlign w:val="center"/>
          </w:tcPr>
          <w:p w14:paraId="62AB8816"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бои или лакове, различни от упоменатите в 08 01 13</w:t>
            </w:r>
          </w:p>
        </w:tc>
        <w:tc>
          <w:tcPr>
            <w:tcW w:w="1558" w:type="dxa"/>
            <w:tcBorders>
              <w:bottom w:val="single" w:sz="4" w:space="0" w:color="000000"/>
              <w:right w:val="single" w:sz="4" w:space="0" w:color="000000"/>
            </w:tcBorders>
            <w:shd w:val="clear" w:color="auto" w:fill="auto"/>
            <w:vAlign w:val="center"/>
          </w:tcPr>
          <w:p w14:paraId="6990A44F"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9747097"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679415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4CB65A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15*</w:t>
            </w:r>
          </w:p>
        </w:tc>
        <w:tc>
          <w:tcPr>
            <w:tcW w:w="5726" w:type="dxa"/>
            <w:tcBorders>
              <w:bottom w:val="single" w:sz="4" w:space="0" w:color="000000"/>
              <w:right w:val="single" w:sz="4" w:space="0" w:color="000000"/>
            </w:tcBorders>
            <w:shd w:val="clear" w:color="auto" w:fill="auto"/>
            <w:vAlign w:val="center"/>
          </w:tcPr>
          <w:p w14:paraId="5A080F29"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водни разтвори, които съдържат бои или лакове,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023A810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FAA3170"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310072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8F054A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16*</w:t>
            </w:r>
          </w:p>
        </w:tc>
        <w:tc>
          <w:tcPr>
            <w:tcW w:w="5726" w:type="dxa"/>
            <w:tcBorders>
              <w:bottom w:val="single" w:sz="4" w:space="0" w:color="000000"/>
              <w:right w:val="single" w:sz="4" w:space="0" w:color="000000"/>
            </w:tcBorders>
            <w:shd w:val="clear" w:color="auto" w:fill="auto"/>
            <w:vAlign w:val="center"/>
          </w:tcPr>
          <w:p w14:paraId="76EBE4C0"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водни разтвори, съдържащи бои или лакове, различни от упоменатите в 08 01 15</w:t>
            </w:r>
          </w:p>
        </w:tc>
        <w:tc>
          <w:tcPr>
            <w:tcW w:w="1558" w:type="dxa"/>
            <w:tcBorders>
              <w:bottom w:val="single" w:sz="4" w:space="0" w:color="000000"/>
              <w:right w:val="single" w:sz="4" w:space="0" w:color="000000"/>
            </w:tcBorders>
            <w:shd w:val="clear" w:color="auto" w:fill="auto"/>
            <w:vAlign w:val="center"/>
          </w:tcPr>
          <w:p w14:paraId="52B39D6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E581B1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F37784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E0EB09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17*</w:t>
            </w:r>
          </w:p>
        </w:tc>
        <w:tc>
          <w:tcPr>
            <w:tcW w:w="5726" w:type="dxa"/>
            <w:tcBorders>
              <w:bottom w:val="single" w:sz="4" w:space="0" w:color="000000"/>
              <w:right w:val="single" w:sz="4" w:space="0" w:color="000000"/>
            </w:tcBorders>
            <w:shd w:val="clear" w:color="auto" w:fill="auto"/>
            <w:vAlign w:val="center"/>
          </w:tcPr>
          <w:p w14:paraId="34992E1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отпадъци от отстраняване на бои или лакове,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738988F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C35B56C"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513ED0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8796E9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01 18*</w:t>
            </w:r>
          </w:p>
        </w:tc>
        <w:tc>
          <w:tcPr>
            <w:tcW w:w="5726" w:type="dxa"/>
            <w:tcBorders>
              <w:bottom w:val="single" w:sz="4" w:space="0" w:color="000000"/>
              <w:right w:val="single" w:sz="4" w:space="0" w:color="000000"/>
            </w:tcBorders>
            <w:shd w:val="clear" w:color="auto" w:fill="auto"/>
            <w:vAlign w:val="center"/>
          </w:tcPr>
          <w:p w14:paraId="2593E45B"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отпадъци от отстраняване на бои и лакове, различни от упоменатите в 08 01 17</w:t>
            </w:r>
          </w:p>
        </w:tc>
        <w:tc>
          <w:tcPr>
            <w:tcW w:w="1558" w:type="dxa"/>
            <w:tcBorders>
              <w:bottom w:val="single" w:sz="4" w:space="0" w:color="000000"/>
              <w:right w:val="single" w:sz="4" w:space="0" w:color="000000"/>
            </w:tcBorders>
            <w:shd w:val="clear" w:color="auto" w:fill="auto"/>
            <w:vAlign w:val="center"/>
          </w:tcPr>
          <w:p w14:paraId="35AC409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B342D08"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37DB34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285433E4" w14:textId="39E5AED6" w:rsidR="00B06EAD" w:rsidRDefault="000339E3">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r w:rsidR="00D20EBD">
              <w:rPr>
                <w:rFonts w:ascii="Times New Roman" w:eastAsia="Times New Roman" w:hAnsi="Times New Roman" w:cs="Times New Roman"/>
                <w:b/>
                <w:bCs/>
                <w:sz w:val="18"/>
                <w:szCs w:val="18"/>
              </w:rPr>
              <w:t>8 01 19*</w:t>
            </w:r>
          </w:p>
        </w:tc>
        <w:tc>
          <w:tcPr>
            <w:tcW w:w="5726" w:type="dxa"/>
            <w:tcBorders>
              <w:bottom w:val="single" w:sz="4" w:space="0" w:color="000000"/>
              <w:right w:val="single" w:sz="4" w:space="0" w:color="000000"/>
            </w:tcBorders>
            <w:shd w:val="clear" w:color="auto" w:fill="auto"/>
            <w:vAlign w:val="center"/>
          </w:tcPr>
          <w:p w14:paraId="41577E0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водни суспензии, които съдържат бои или лакове,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548AC85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C2C17D6"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BB0890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E86054C" w14:textId="7AEEE7A8" w:rsidR="00B06EAD" w:rsidRDefault="000339E3">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r w:rsidR="00D20EBD">
              <w:rPr>
                <w:rFonts w:ascii="Times New Roman" w:eastAsia="Times New Roman" w:hAnsi="Times New Roman" w:cs="Times New Roman"/>
                <w:b/>
                <w:bCs/>
                <w:sz w:val="18"/>
                <w:szCs w:val="18"/>
              </w:rPr>
              <w:t>8 01 20*</w:t>
            </w:r>
          </w:p>
        </w:tc>
        <w:tc>
          <w:tcPr>
            <w:tcW w:w="5726" w:type="dxa"/>
            <w:tcBorders>
              <w:bottom w:val="single" w:sz="4" w:space="0" w:color="000000"/>
              <w:right w:val="single" w:sz="4" w:space="0" w:color="000000"/>
            </w:tcBorders>
            <w:shd w:val="clear" w:color="auto" w:fill="auto"/>
            <w:vAlign w:val="center"/>
          </w:tcPr>
          <w:p w14:paraId="06860516"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водни суспензии, съдържащи бои или лакове, различни от упоменатите в 08 01 19</w:t>
            </w:r>
          </w:p>
        </w:tc>
        <w:tc>
          <w:tcPr>
            <w:tcW w:w="1558" w:type="dxa"/>
            <w:tcBorders>
              <w:bottom w:val="single" w:sz="4" w:space="0" w:color="000000"/>
              <w:right w:val="single" w:sz="4" w:space="0" w:color="000000"/>
            </w:tcBorders>
            <w:shd w:val="clear" w:color="auto" w:fill="auto"/>
            <w:vAlign w:val="center"/>
          </w:tcPr>
          <w:p w14:paraId="5E7DD39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F404A5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29B328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6ED3675" w14:textId="5F7901B8" w:rsidR="00B06EAD" w:rsidRDefault="000339E3">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r w:rsidR="00D20EBD">
              <w:rPr>
                <w:rFonts w:ascii="Times New Roman" w:eastAsia="Times New Roman" w:hAnsi="Times New Roman" w:cs="Times New Roman"/>
                <w:b/>
                <w:bCs/>
                <w:sz w:val="18"/>
                <w:szCs w:val="18"/>
              </w:rPr>
              <w:t>8 01 21*</w:t>
            </w:r>
          </w:p>
        </w:tc>
        <w:tc>
          <w:tcPr>
            <w:tcW w:w="5726" w:type="dxa"/>
            <w:tcBorders>
              <w:bottom w:val="single" w:sz="4" w:space="0" w:color="000000"/>
              <w:right w:val="single" w:sz="4" w:space="0" w:color="000000"/>
            </w:tcBorders>
            <w:shd w:val="clear" w:color="auto" w:fill="auto"/>
            <w:vAlign w:val="center"/>
          </w:tcPr>
          <w:p w14:paraId="054F1E2B"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отпадъци от вещества и смеси, отстраняващи бои или лакове</w:t>
            </w:r>
          </w:p>
        </w:tc>
        <w:tc>
          <w:tcPr>
            <w:tcW w:w="1558" w:type="dxa"/>
            <w:tcBorders>
              <w:bottom w:val="single" w:sz="4" w:space="0" w:color="000000"/>
              <w:right w:val="single" w:sz="4" w:space="0" w:color="000000"/>
            </w:tcBorders>
            <w:shd w:val="clear" w:color="auto" w:fill="auto"/>
            <w:vAlign w:val="center"/>
          </w:tcPr>
          <w:p w14:paraId="47450E3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BF9F42D"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07017EA"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752239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08 03 07</w:t>
            </w:r>
          </w:p>
        </w:tc>
        <w:tc>
          <w:tcPr>
            <w:tcW w:w="5726" w:type="dxa"/>
            <w:tcBorders>
              <w:bottom w:val="single" w:sz="4" w:space="0" w:color="000000"/>
              <w:right w:val="single" w:sz="4" w:space="0" w:color="000000"/>
            </w:tcBorders>
            <w:shd w:val="clear" w:color="auto" w:fill="auto"/>
            <w:vAlign w:val="center"/>
          </w:tcPr>
          <w:p w14:paraId="752CC29A"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воден разтвор, съдържащи печатарски мастила</w:t>
            </w:r>
          </w:p>
        </w:tc>
        <w:tc>
          <w:tcPr>
            <w:tcW w:w="1558" w:type="dxa"/>
            <w:tcBorders>
              <w:bottom w:val="single" w:sz="4" w:space="0" w:color="000000"/>
              <w:right w:val="single" w:sz="4" w:space="0" w:color="000000"/>
            </w:tcBorders>
            <w:shd w:val="clear" w:color="auto" w:fill="auto"/>
            <w:vAlign w:val="center"/>
          </w:tcPr>
          <w:p w14:paraId="5132913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0552904B"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F192C3A"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3C28AA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08 03 08</w:t>
            </w:r>
          </w:p>
        </w:tc>
        <w:tc>
          <w:tcPr>
            <w:tcW w:w="5726" w:type="dxa"/>
            <w:tcBorders>
              <w:bottom w:val="single" w:sz="4" w:space="0" w:color="000000"/>
              <w:right w:val="single" w:sz="4" w:space="0" w:color="000000"/>
            </w:tcBorders>
            <w:shd w:val="clear" w:color="auto" w:fill="auto"/>
            <w:vAlign w:val="center"/>
          </w:tcPr>
          <w:p w14:paraId="394E23DA"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води, съдържащи печатарски мастила</w:t>
            </w:r>
          </w:p>
        </w:tc>
        <w:tc>
          <w:tcPr>
            <w:tcW w:w="1558" w:type="dxa"/>
            <w:tcBorders>
              <w:bottom w:val="single" w:sz="4" w:space="0" w:color="000000"/>
              <w:right w:val="single" w:sz="4" w:space="0" w:color="000000"/>
            </w:tcBorders>
            <w:shd w:val="clear" w:color="auto" w:fill="auto"/>
            <w:vAlign w:val="center"/>
          </w:tcPr>
          <w:p w14:paraId="05C22D5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D5C16DA"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425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12DD080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12*</w:t>
            </w:r>
          </w:p>
        </w:tc>
        <w:tc>
          <w:tcPr>
            <w:tcW w:w="5726" w:type="dxa"/>
            <w:tcBorders>
              <w:top w:val="single" w:sz="4" w:space="0" w:color="000000"/>
              <w:bottom w:val="single" w:sz="4" w:space="0" w:color="000000"/>
              <w:right w:val="single" w:sz="4" w:space="0" w:color="000000"/>
            </w:tcBorders>
            <w:shd w:val="clear" w:color="auto" w:fill="auto"/>
            <w:vAlign w:val="center"/>
          </w:tcPr>
          <w:p w14:paraId="448A0CB9"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печатарски мастила, съдържащи опасни вещества</w:t>
            </w:r>
          </w:p>
        </w:tc>
        <w:tc>
          <w:tcPr>
            <w:tcW w:w="1558" w:type="dxa"/>
            <w:tcBorders>
              <w:top w:val="single" w:sz="4" w:space="0" w:color="000000"/>
              <w:bottom w:val="single" w:sz="4" w:space="0" w:color="000000"/>
              <w:right w:val="single" w:sz="4" w:space="0" w:color="000000"/>
            </w:tcBorders>
            <w:shd w:val="clear" w:color="auto" w:fill="auto"/>
            <w:vAlign w:val="center"/>
          </w:tcPr>
          <w:p w14:paraId="7F16EBA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C8130D6"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57C4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3EDE0D9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08 03 13</w:t>
            </w:r>
          </w:p>
        </w:tc>
        <w:tc>
          <w:tcPr>
            <w:tcW w:w="5726" w:type="dxa"/>
            <w:tcBorders>
              <w:top w:val="single" w:sz="4" w:space="0" w:color="000000"/>
              <w:bottom w:val="single" w:sz="4" w:space="0" w:color="000000"/>
              <w:right w:val="single" w:sz="4" w:space="0" w:color="000000"/>
            </w:tcBorders>
            <w:shd w:val="clear" w:color="auto" w:fill="auto"/>
            <w:vAlign w:val="center"/>
          </w:tcPr>
          <w:p w14:paraId="67BBD9C7"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печатарски мастила, различни от упоменатите в 08 03 12</w:t>
            </w:r>
          </w:p>
        </w:tc>
        <w:tc>
          <w:tcPr>
            <w:tcW w:w="1558" w:type="dxa"/>
            <w:tcBorders>
              <w:top w:val="single" w:sz="4" w:space="0" w:color="000000"/>
              <w:bottom w:val="single" w:sz="4" w:space="0" w:color="000000"/>
              <w:right w:val="single" w:sz="4" w:space="0" w:color="000000"/>
            </w:tcBorders>
            <w:shd w:val="clear" w:color="auto" w:fill="auto"/>
            <w:vAlign w:val="center"/>
          </w:tcPr>
          <w:p w14:paraId="2C9EA08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1DF8506"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5AC1"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7715963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14*</w:t>
            </w:r>
          </w:p>
        </w:tc>
        <w:tc>
          <w:tcPr>
            <w:tcW w:w="5726" w:type="dxa"/>
            <w:tcBorders>
              <w:top w:val="single" w:sz="4" w:space="0" w:color="000000"/>
              <w:bottom w:val="single" w:sz="4" w:space="0" w:color="000000"/>
              <w:right w:val="single" w:sz="4" w:space="0" w:color="000000"/>
            </w:tcBorders>
            <w:shd w:val="clear" w:color="auto" w:fill="auto"/>
            <w:vAlign w:val="center"/>
          </w:tcPr>
          <w:p w14:paraId="1230E911"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печатарски мастила, съдържащи опасни вещества</w:t>
            </w:r>
          </w:p>
        </w:tc>
        <w:tc>
          <w:tcPr>
            <w:tcW w:w="1558" w:type="dxa"/>
            <w:tcBorders>
              <w:top w:val="single" w:sz="4" w:space="0" w:color="000000"/>
              <w:bottom w:val="single" w:sz="4" w:space="0" w:color="000000"/>
              <w:right w:val="single" w:sz="4" w:space="0" w:color="000000"/>
            </w:tcBorders>
            <w:shd w:val="clear" w:color="auto" w:fill="auto"/>
            <w:vAlign w:val="center"/>
          </w:tcPr>
          <w:p w14:paraId="7969FB6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8E73A74"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1DE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242B285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08 03 15</w:t>
            </w:r>
          </w:p>
        </w:tc>
        <w:tc>
          <w:tcPr>
            <w:tcW w:w="5726" w:type="dxa"/>
            <w:tcBorders>
              <w:top w:val="single" w:sz="4" w:space="0" w:color="000000"/>
              <w:bottom w:val="single" w:sz="4" w:space="0" w:color="000000"/>
              <w:right w:val="single" w:sz="4" w:space="0" w:color="000000"/>
            </w:tcBorders>
            <w:shd w:val="clear" w:color="auto" w:fill="auto"/>
            <w:vAlign w:val="center"/>
          </w:tcPr>
          <w:p w14:paraId="26B69FD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печатарски мастила, различни от упоменатите в 08 03 14</w:t>
            </w:r>
          </w:p>
        </w:tc>
        <w:tc>
          <w:tcPr>
            <w:tcW w:w="1558" w:type="dxa"/>
            <w:tcBorders>
              <w:top w:val="single" w:sz="4" w:space="0" w:color="000000"/>
              <w:bottom w:val="single" w:sz="4" w:space="0" w:color="000000"/>
              <w:right w:val="single" w:sz="4" w:space="0" w:color="000000"/>
            </w:tcBorders>
            <w:shd w:val="clear" w:color="auto" w:fill="auto"/>
            <w:vAlign w:val="center"/>
          </w:tcPr>
          <w:p w14:paraId="471FC57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6C5E3AF"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9BA2DE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6801F3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16*</w:t>
            </w:r>
          </w:p>
        </w:tc>
        <w:tc>
          <w:tcPr>
            <w:tcW w:w="5726" w:type="dxa"/>
            <w:tcBorders>
              <w:bottom w:val="single" w:sz="4" w:space="0" w:color="000000"/>
              <w:right w:val="single" w:sz="4" w:space="0" w:color="000000"/>
            </w:tcBorders>
            <w:shd w:val="clear" w:color="auto" w:fill="auto"/>
            <w:vAlign w:val="center"/>
          </w:tcPr>
          <w:p w14:paraId="7C3A0CB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отпадъчни разтвори от </w:t>
            </w:r>
            <w:proofErr w:type="spellStart"/>
            <w:r>
              <w:rPr>
                <w:rFonts w:ascii="Times New Roman" w:eastAsia="Times New Roman" w:hAnsi="Times New Roman" w:cs="Times New Roman"/>
                <w:sz w:val="18"/>
                <w:szCs w:val="18"/>
              </w:rPr>
              <w:t>ецване</w:t>
            </w:r>
            <w:proofErr w:type="spellEnd"/>
            <w:r>
              <w:rPr>
                <w:rFonts w:ascii="Times New Roman" w:eastAsia="Times New Roman" w:hAnsi="Times New Roman" w:cs="Times New Roman"/>
                <w:sz w:val="18"/>
                <w:szCs w:val="18"/>
              </w:rPr>
              <w:t>/гравиране</w:t>
            </w:r>
          </w:p>
        </w:tc>
        <w:tc>
          <w:tcPr>
            <w:tcW w:w="1558" w:type="dxa"/>
            <w:tcBorders>
              <w:bottom w:val="single" w:sz="4" w:space="0" w:color="000000"/>
              <w:right w:val="single" w:sz="4" w:space="0" w:color="000000"/>
            </w:tcBorders>
            <w:shd w:val="clear" w:color="auto" w:fill="auto"/>
            <w:vAlign w:val="center"/>
          </w:tcPr>
          <w:p w14:paraId="5A07C2B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890F4E9"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0BC9E6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F1653C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08 03 18</w:t>
            </w:r>
          </w:p>
        </w:tc>
        <w:tc>
          <w:tcPr>
            <w:tcW w:w="5726" w:type="dxa"/>
            <w:tcBorders>
              <w:bottom w:val="single" w:sz="4" w:space="0" w:color="000000"/>
              <w:right w:val="single" w:sz="4" w:space="0" w:color="000000"/>
            </w:tcBorders>
            <w:shd w:val="clear" w:color="auto" w:fill="auto"/>
            <w:vAlign w:val="center"/>
          </w:tcPr>
          <w:p w14:paraId="1699ACA7"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отпадъчен тонер за печатане, различен от упоменатия в 08 03 17</w:t>
            </w:r>
          </w:p>
        </w:tc>
        <w:tc>
          <w:tcPr>
            <w:tcW w:w="1558" w:type="dxa"/>
            <w:tcBorders>
              <w:bottom w:val="single" w:sz="4" w:space="0" w:color="000000"/>
              <w:right w:val="single" w:sz="4" w:space="0" w:color="000000"/>
            </w:tcBorders>
            <w:shd w:val="clear" w:color="auto" w:fill="auto"/>
            <w:vAlign w:val="center"/>
          </w:tcPr>
          <w:p w14:paraId="208139B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058C6947"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C103BA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5CE3C0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09*</w:t>
            </w:r>
          </w:p>
        </w:tc>
        <w:tc>
          <w:tcPr>
            <w:tcW w:w="5726" w:type="dxa"/>
            <w:tcBorders>
              <w:bottom w:val="single" w:sz="4" w:space="0" w:color="000000"/>
              <w:right w:val="single" w:sz="4" w:space="0" w:color="000000"/>
            </w:tcBorders>
            <w:shd w:val="clear" w:color="auto" w:fill="auto"/>
            <w:vAlign w:val="center"/>
          </w:tcPr>
          <w:p w14:paraId="33E2C79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лепила/адхезиви и уплътняващи материали,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1E10CCC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7155BED1"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6AF75BF"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4451FF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08 04 10</w:t>
            </w:r>
          </w:p>
        </w:tc>
        <w:tc>
          <w:tcPr>
            <w:tcW w:w="5726" w:type="dxa"/>
            <w:tcBorders>
              <w:bottom w:val="single" w:sz="4" w:space="0" w:color="000000"/>
              <w:right w:val="single" w:sz="4" w:space="0" w:color="000000"/>
            </w:tcBorders>
            <w:shd w:val="clear" w:color="auto" w:fill="auto"/>
            <w:vAlign w:val="center"/>
          </w:tcPr>
          <w:p w14:paraId="2AE913A3"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лепила/адхезиви и уплътняващи материали, различни от упоменатите в 08 04 09</w:t>
            </w:r>
          </w:p>
        </w:tc>
        <w:tc>
          <w:tcPr>
            <w:tcW w:w="1558" w:type="dxa"/>
            <w:tcBorders>
              <w:bottom w:val="single" w:sz="4" w:space="0" w:color="000000"/>
              <w:right w:val="single" w:sz="4" w:space="0" w:color="000000"/>
            </w:tcBorders>
            <w:shd w:val="clear" w:color="auto" w:fill="auto"/>
            <w:vAlign w:val="center"/>
          </w:tcPr>
          <w:p w14:paraId="4AA32F2D"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8646614"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186403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65AC4E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11*</w:t>
            </w:r>
          </w:p>
        </w:tc>
        <w:tc>
          <w:tcPr>
            <w:tcW w:w="5726" w:type="dxa"/>
            <w:tcBorders>
              <w:bottom w:val="single" w:sz="4" w:space="0" w:color="000000"/>
              <w:right w:val="single" w:sz="4" w:space="0" w:color="000000"/>
            </w:tcBorders>
            <w:shd w:val="clear" w:color="auto" w:fill="auto"/>
            <w:vAlign w:val="center"/>
          </w:tcPr>
          <w:p w14:paraId="334128AA"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лепила/адхезиви и уплътняващи материали,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65C1D71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06F2F52A"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EACE69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A16A96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08 04 12</w:t>
            </w:r>
          </w:p>
        </w:tc>
        <w:tc>
          <w:tcPr>
            <w:tcW w:w="5726" w:type="dxa"/>
            <w:tcBorders>
              <w:bottom w:val="single" w:sz="4" w:space="0" w:color="000000"/>
              <w:right w:val="single" w:sz="4" w:space="0" w:color="000000"/>
            </w:tcBorders>
            <w:shd w:val="clear" w:color="auto" w:fill="auto"/>
            <w:vAlign w:val="center"/>
          </w:tcPr>
          <w:p w14:paraId="026D0AD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лепила/адхезиви и уплътняващи материали, различни от упоменатите в 08 04 11</w:t>
            </w:r>
          </w:p>
        </w:tc>
        <w:tc>
          <w:tcPr>
            <w:tcW w:w="1558" w:type="dxa"/>
            <w:tcBorders>
              <w:bottom w:val="single" w:sz="4" w:space="0" w:color="000000"/>
              <w:right w:val="single" w:sz="4" w:space="0" w:color="000000"/>
            </w:tcBorders>
            <w:shd w:val="clear" w:color="auto" w:fill="auto"/>
            <w:vAlign w:val="center"/>
          </w:tcPr>
          <w:p w14:paraId="2C45A5B6"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0F0BE3D1" w14:textId="77777777">
        <w:trPr>
          <w:trHeight w:val="794"/>
        </w:trPr>
        <w:tc>
          <w:tcPr>
            <w:tcW w:w="797" w:type="dxa"/>
            <w:tcBorders>
              <w:left w:val="single" w:sz="4" w:space="0" w:color="000000"/>
              <w:bottom w:val="single" w:sz="4" w:space="0" w:color="000000"/>
              <w:right w:val="single" w:sz="4" w:space="0" w:color="000000"/>
            </w:tcBorders>
            <w:shd w:val="clear" w:color="auto" w:fill="auto"/>
            <w:vAlign w:val="center"/>
          </w:tcPr>
          <w:p w14:paraId="31B3FFA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163C11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13*</w:t>
            </w:r>
          </w:p>
        </w:tc>
        <w:tc>
          <w:tcPr>
            <w:tcW w:w="5726" w:type="dxa"/>
            <w:tcBorders>
              <w:bottom w:val="single" w:sz="4" w:space="0" w:color="000000"/>
              <w:right w:val="single" w:sz="4" w:space="0" w:color="000000"/>
            </w:tcBorders>
            <w:shd w:val="clear" w:color="auto" w:fill="auto"/>
            <w:vAlign w:val="center"/>
          </w:tcPr>
          <w:p w14:paraId="4AF3B99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водни разтвори, които съдържат лепила/адхезиви или уплътняващи материали,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0323CA1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99BF4FD"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62F832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7C7187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08 04 14</w:t>
            </w:r>
          </w:p>
        </w:tc>
        <w:tc>
          <w:tcPr>
            <w:tcW w:w="5726" w:type="dxa"/>
            <w:tcBorders>
              <w:bottom w:val="single" w:sz="4" w:space="0" w:color="000000"/>
              <w:right w:val="single" w:sz="4" w:space="0" w:color="000000"/>
            </w:tcBorders>
            <w:shd w:val="clear" w:color="auto" w:fill="auto"/>
            <w:vAlign w:val="center"/>
          </w:tcPr>
          <w:p w14:paraId="2C01F734"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водни разтвори, съдържащи лепила/адхезиви или уплътняващи материали, различни от упоменатите в 08 04 13</w:t>
            </w:r>
          </w:p>
        </w:tc>
        <w:tc>
          <w:tcPr>
            <w:tcW w:w="1558" w:type="dxa"/>
            <w:tcBorders>
              <w:bottom w:val="single" w:sz="4" w:space="0" w:color="000000"/>
              <w:right w:val="single" w:sz="4" w:space="0" w:color="000000"/>
            </w:tcBorders>
            <w:shd w:val="clear" w:color="auto" w:fill="auto"/>
            <w:vAlign w:val="center"/>
          </w:tcPr>
          <w:p w14:paraId="6275507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2B211DE" w14:textId="77777777">
        <w:trPr>
          <w:trHeight w:val="794"/>
        </w:trPr>
        <w:tc>
          <w:tcPr>
            <w:tcW w:w="797" w:type="dxa"/>
            <w:tcBorders>
              <w:left w:val="single" w:sz="4" w:space="0" w:color="000000"/>
              <w:bottom w:val="single" w:sz="4" w:space="0" w:color="000000"/>
              <w:right w:val="single" w:sz="4" w:space="0" w:color="000000"/>
            </w:tcBorders>
            <w:shd w:val="clear" w:color="auto" w:fill="auto"/>
            <w:vAlign w:val="center"/>
          </w:tcPr>
          <w:p w14:paraId="7F12640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F9348E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15*</w:t>
            </w:r>
          </w:p>
        </w:tc>
        <w:tc>
          <w:tcPr>
            <w:tcW w:w="5726" w:type="dxa"/>
            <w:tcBorders>
              <w:bottom w:val="single" w:sz="4" w:space="0" w:color="000000"/>
              <w:right w:val="single" w:sz="4" w:space="0" w:color="000000"/>
            </w:tcBorders>
            <w:shd w:val="clear" w:color="auto" w:fill="auto"/>
            <w:vAlign w:val="center"/>
          </w:tcPr>
          <w:p w14:paraId="50601417"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води, които съдържат лепила/адхезиви или уплътняващи материали, съдържащи органични разтворители или други опасни вещества</w:t>
            </w:r>
          </w:p>
        </w:tc>
        <w:tc>
          <w:tcPr>
            <w:tcW w:w="1558" w:type="dxa"/>
            <w:tcBorders>
              <w:bottom w:val="single" w:sz="4" w:space="0" w:color="000000"/>
              <w:right w:val="single" w:sz="4" w:space="0" w:color="000000"/>
            </w:tcBorders>
            <w:shd w:val="clear" w:color="auto" w:fill="auto"/>
            <w:vAlign w:val="center"/>
          </w:tcPr>
          <w:p w14:paraId="10EF984A"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71BCDF6"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4645A54"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8E9F27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08 04 16</w:t>
            </w:r>
          </w:p>
        </w:tc>
        <w:tc>
          <w:tcPr>
            <w:tcW w:w="5726" w:type="dxa"/>
            <w:tcBorders>
              <w:bottom w:val="single" w:sz="4" w:space="0" w:color="000000"/>
              <w:right w:val="single" w:sz="4" w:space="0" w:color="000000"/>
            </w:tcBorders>
            <w:shd w:val="clear" w:color="auto" w:fill="auto"/>
            <w:vAlign w:val="center"/>
          </w:tcPr>
          <w:p w14:paraId="7208015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отпадъчни води, съдържащи лепила/адхезиви или уплътняващи материали, различни от упоменатите в 08 04 15</w:t>
            </w:r>
          </w:p>
        </w:tc>
        <w:tc>
          <w:tcPr>
            <w:tcW w:w="1558" w:type="dxa"/>
            <w:tcBorders>
              <w:bottom w:val="single" w:sz="4" w:space="0" w:color="000000"/>
              <w:right w:val="single" w:sz="4" w:space="0" w:color="000000"/>
            </w:tcBorders>
            <w:shd w:val="clear" w:color="auto" w:fill="auto"/>
            <w:vAlign w:val="center"/>
          </w:tcPr>
          <w:p w14:paraId="3829653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1C1B7E8C"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0B922F1"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97E69D2"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09 01 01*</w:t>
            </w:r>
          </w:p>
        </w:tc>
        <w:tc>
          <w:tcPr>
            <w:tcW w:w="5726" w:type="dxa"/>
            <w:tcBorders>
              <w:bottom w:val="single" w:sz="4" w:space="0" w:color="000000"/>
              <w:right w:val="single" w:sz="4" w:space="0" w:color="000000"/>
            </w:tcBorders>
            <w:shd w:val="clear" w:color="auto" w:fill="auto"/>
            <w:vAlign w:val="center"/>
          </w:tcPr>
          <w:p w14:paraId="51AE50EA"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разтвори от проявител и активатор на водна основа</w:t>
            </w:r>
          </w:p>
        </w:tc>
        <w:tc>
          <w:tcPr>
            <w:tcW w:w="1558" w:type="dxa"/>
            <w:tcBorders>
              <w:bottom w:val="single" w:sz="4" w:space="0" w:color="000000"/>
              <w:right w:val="single" w:sz="4" w:space="0" w:color="000000"/>
            </w:tcBorders>
            <w:shd w:val="clear" w:color="auto" w:fill="auto"/>
            <w:vAlign w:val="center"/>
          </w:tcPr>
          <w:p w14:paraId="2763009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3448A35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5D28FD5"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9E4C97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09 01 02*</w:t>
            </w:r>
          </w:p>
        </w:tc>
        <w:tc>
          <w:tcPr>
            <w:tcW w:w="5726" w:type="dxa"/>
            <w:tcBorders>
              <w:bottom w:val="single" w:sz="4" w:space="0" w:color="000000"/>
              <w:right w:val="single" w:sz="4" w:space="0" w:color="000000"/>
            </w:tcBorders>
            <w:shd w:val="clear" w:color="auto" w:fill="auto"/>
            <w:vAlign w:val="center"/>
          </w:tcPr>
          <w:p w14:paraId="39113045"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разтвори от офсетов проявител на водна основа</w:t>
            </w:r>
          </w:p>
        </w:tc>
        <w:tc>
          <w:tcPr>
            <w:tcW w:w="1558" w:type="dxa"/>
            <w:tcBorders>
              <w:bottom w:val="single" w:sz="4" w:space="0" w:color="000000"/>
              <w:right w:val="single" w:sz="4" w:space="0" w:color="000000"/>
            </w:tcBorders>
            <w:shd w:val="clear" w:color="auto" w:fill="auto"/>
            <w:vAlign w:val="center"/>
          </w:tcPr>
          <w:p w14:paraId="6375ABB1"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940552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1AEBB49"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0753BD5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09 01 03*</w:t>
            </w:r>
          </w:p>
        </w:tc>
        <w:tc>
          <w:tcPr>
            <w:tcW w:w="5726" w:type="dxa"/>
            <w:tcBorders>
              <w:bottom w:val="single" w:sz="4" w:space="0" w:color="000000"/>
              <w:right w:val="single" w:sz="4" w:space="0" w:color="000000"/>
            </w:tcBorders>
            <w:shd w:val="clear" w:color="auto" w:fill="auto"/>
            <w:vAlign w:val="center"/>
          </w:tcPr>
          <w:p w14:paraId="3293293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разтвори от проявител на основата на разтворители</w:t>
            </w:r>
          </w:p>
        </w:tc>
        <w:tc>
          <w:tcPr>
            <w:tcW w:w="1558" w:type="dxa"/>
            <w:tcBorders>
              <w:bottom w:val="single" w:sz="4" w:space="0" w:color="000000"/>
              <w:right w:val="single" w:sz="4" w:space="0" w:color="000000"/>
            </w:tcBorders>
            <w:shd w:val="clear" w:color="auto" w:fill="auto"/>
            <w:vAlign w:val="center"/>
          </w:tcPr>
          <w:p w14:paraId="52A1EE50"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E554A50"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40F3D5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7B1F93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09 01 04*</w:t>
            </w:r>
          </w:p>
        </w:tc>
        <w:tc>
          <w:tcPr>
            <w:tcW w:w="5726" w:type="dxa"/>
            <w:tcBorders>
              <w:bottom w:val="single" w:sz="4" w:space="0" w:color="000000"/>
              <w:right w:val="single" w:sz="4" w:space="0" w:color="000000"/>
            </w:tcBorders>
            <w:shd w:val="clear" w:color="auto" w:fill="auto"/>
            <w:vAlign w:val="center"/>
          </w:tcPr>
          <w:p w14:paraId="01B2AA6C"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фиксиращи разтвори</w:t>
            </w:r>
          </w:p>
        </w:tc>
        <w:tc>
          <w:tcPr>
            <w:tcW w:w="1558" w:type="dxa"/>
            <w:tcBorders>
              <w:bottom w:val="single" w:sz="4" w:space="0" w:color="000000"/>
              <w:right w:val="single" w:sz="4" w:space="0" w:color="000000"/>
            </w:tcBorders>
            <w:shd w:val="clear" w:color="auto" w:fill="auto"/>
            <w:vAlign w:val="center"/>
          </w:tcPr>
          <w:p w14:paraId="3E40930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C461FD9"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3910B694"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1392B9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09 01 05*</w:t>
            </w:r>
          </w:p>
        </w:tc>
        <w:tc>
          <w:tcPr>
            <w:tcW w:w="5726" w:type="dxa"/>
            <w:tcBorders>
              <w:bottom w:val="single" w:sz="4" w:space="0" w:color="000000"/>
              <w:right w:val="single" w:sz="4" w:space="0" w:color="000000"/>
            </w:tcBorders>
            <w:shd w:val="clear" w:color="auto" w:fill="auto"/>
            <w:vAlign w:val="center"/>
          </w:tcPr>
          <w:p w14:paraId="194A72A3"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избелващи разтвори или избелващи фиксиращи разтвори</w:t>
            </w:r>
          </w:p>
        </w:tc>
        <w:tc>
          <w:tcPr>
            <w:tcW w:w="1558" w:type="dxa"/>
            <w:tcBorders>
              <w:bottom w:val="single" w:sz="4" w:space="0" w:color="000000"/>
              <w:right w:val="single" w:sz="4" w:space="0" w:color="000000"/>
            </w:tcBorders>
            <w:shd w:val="clear" w:color="auto" w:fill="auto"/>
            <w:vAlign w:val="center"/>
          </w:tcPr>
          <w:p w14:paraId="581C99D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2FA102BB"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940ACC4"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1308205"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06 02*</w:t>
            </w:r>
          </w:p>
        </w:tc>
        <w:tc>
          <w:tcPr>
            <w:tcW w:w="5726" w:type="dxa"/>
            <w:tcBorders>
              <w:bottom w:val="single" w:sz="4" w:space="0" w:color="000000"/>
              <w:right w:val="single" w:sz="4" w:space="0" w:color="000000"/>
            </w:tcBorders>
            <w:shd w:val="clear" w:color="auto" w:fill="auto"/>
            <w:vAlign w:val="center"/>
          </w:tcPr>
          <w:p w14:paraId="0CF8B0B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други </w:t>
            </w: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разтворители и смеси от разтворители</w:t>
            </w:r>
          </w:p>
        </w:tc>
        <w:tc>
          <w:tcPr>
            <w:tcW w:w="1558" w:type="dxa"/>
            <w:tcBorders>
              <w:bottom w:val="single" w:sz="4" w:space="0" w:color="000000"/>
              <w:right w:val="single" w:sz="4" w:space="0" w:color="000000"/>
            </w:tcBorders>
            <w:shd w:val="clear" w:color="auto" w:fill="auto"/>
            <w:vAlign w:val="center"/>
          </w:tcPr>
          <w:p w14:paraId="3BA121F8"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D219C0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EF29F64"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CD9A8E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06 03*</w:t>
            </w:r>
          </w:p>
        </w:tc>
        <w:tc>
          <w:tcPr>
            <w:tcW w:w="5726" w:type="dxa"/>
            <w:tcBorders>
              <w:bottom w:val="single" w:sz="4" w:space="0" w:color="000000"/>
              <w:right w:val="single" w:sz="4" w:space="0" w:color="000000"/>
            </w:tcBorders>
            <w:shd w:val="clear" w:color="auto" w:fill="auto"/>
            <w:vAlign w:val="center"/>
          </w:tcPr>
          <w:p w14:paraId="55317D22"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разтворители и смеси от разтворители</w:t>
            </w:r>
          </w:p>
        </w:tc>
        <w:tc>
          <w:tcPr>
            <w:tcW w:w="1558" w:type="dxa"/>
            <w:tcBorders>
              <w:bottom w:val="single" w:sz="4" w:space="0" w:color="000000"/>
              <w:right w:val="single" w:sz="4" w:space="0" w:color="000000"/>
            </w:tcBorders>
            <w:shd w:val="clear" w:color="auto" w:fill="auto"/>
            <w:vAlign w:val="center"/>
          </w:tcPr>
          <w:p w14:paraId="669A6BA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4D47E20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D6B534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3967382B"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06 04*</w:t>
            </w:r>
          </w:p>
        </w:tc>
        <w:tc>
          <w:tcPr>
            <w:tcW w:w="5726" w:type="dxa"/>
            <w:tcBorders>
              <w:bottom w:val="single" w:sz="4" w:space="0" w:color="000000"/>
              <w:right w:val="single" w:sz="4" w:space="0" w:color="000000"/>
            </w:tcBorders>
            <w:shd w:val="clear" w:color="auto" w:fill="auto"/>
            <w:vAlign w:val="center"/>
          </w:tcPr>
          <w:p w14:paraId="47E28DE1"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утайки или твърди отпадъци, съдържащи </w:t>
            </w:r>
            <w:proofErr w:type="spellStart"/>
            <w:r>
              <w:rPr>
                <w:rFonts w:ascii="Times New Roman" w:eastAsia="Times New Roman" w:hAnsi="Times New Roman" w:cs="Times New Roman"/>
                <w:sz w:val="18"/>
                <w:szCs w:val="18"/>
              </w:rPr>
              <w:t>халогенирани</w:t>
            </w:r>
            <w:proofErr w:type="spellEnd"/>
            <w:r>
              <w:rPr>
                <w:rFonts w:ascii="Times New Roman" w:eastAsia="Times New Roman" w:hAnsi="Times New Roman" w:cs="Times New Roman"/>
                <w:sz w:val="18"/>
                <w:szCs w:val="18"/>
              </w:rPr>
              <w:t xml:space="preserve"> разтворители</w:t>
            </w:r>
          </w:p>
        </w:tc>
        <w:tc>
          <w:tcPr>
            <w:tcW w:w="1558" w:type="dxa"/>
            <w:tcBorders>
              <w:bottom w:val="single" w:sz="4" w:space="0" w:color="000000"/>
              <w:right w:val="single" w:sz="4" w:space="0" w:color="000000"/>
            </w:tcBorders>
            <w:shd w:val="clear" w:color="auto" w:fill="auto"/>
            <w:vAlign w:val="center"/>
          </w:tcPr>
          <w:p w14:paraId="5969DCC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5F56764E"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9B66282"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4EDF1C3"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06 05*</w:t>
            </w:r>
          </w:p>
        </w:tc>
        <w:tc>
          <w:tcPr>
            <w:tcW w:w="5726" w:type="dxa"/>
            <w:tcBorders>
              <w:bottom w:val="single" w:sz="4" w:space="0" w:color="000000"/>
              <w:right w:val="single" w:sz="4" w:space="0" w:color="000000"/>
            </w:tcBorders>
            <w:shd w:val="clear" w:color="auto" w:fill="auto"/>
            <w:vAlign w:val="center"/>
          </w:tcPr>
          <w:p w14:paraId="7760AC30"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или твърди отпадъци, съдържащи други разтворители</w:t>
            </w:r>
          </w:p>
        </w:tc>
        <w:tc>
          <w:tcPr>
            <w:tcW w:w="1558" w:type="dxa"/>
            <w:tcBorders>
              <w:bottom w:val="single" w:sz="4" w:space="0" w:color="000000"/>
              <w:right w:val="single" w:sz="4" w:space="0" w:color="000000"/>
            </w:tcBorders>
            <w:shd w:val="clear" w:color="auto" w:fill="auto"/>
            <w:vAlign w:val="center"/>
          </w:tcPr>
          <w:p w14:paraId="52BAB249"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r w:rsidR="00B06EAD" w14:paraId="6AC409BE" w14:textId="77777777">
        <w:trPr>
          <w:trHeight w:val="567"/>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57BB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54689644"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 01 10*</w:t>
            </w:r>
          </w:p>
        </w:tc>
        <w:tc>
          <w:tcPr>
            <w:tcW w:w="5726" w:type="dxa"/>
            <w:tcBorders>
              <w:top w:val="single" w:sz="4" w:space="0" w:color="000000"/>
              <w:bottom w:val="single" w:sz="4" w:space="0" w:color="000000"/>
              <w:right w:val="single" w:sz="4" w:space="0" w:color="000000"/>
            </w:tcBorders>
            <w:shd w:val="clear" w:color="auto" w:fill="auto"/>
            <w:vAlign w:val="center"/>
          </w:tcPr>
          <w:p w14:paraId="4B5986AB"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опаковки, съдържащи остатъци от опасни вещества или замърсени с опасни вещества</w:t>
            </w:r>
          </w:p>
        </w:tc>
        <w:tc>
          <w:tcPr>
            <w:tcW w:w="1558" w:type="dxa"/>
            <w:tcBorders>
              <w:top w:val="single" w:sz="4" w:space="0" w:color="000000"/>
              <w:bottom w:val="single" w:sz="4" w:space="0" w:color="000000"/>
              <w:right w:val="single" w:sz="4" w:space="0" w:color="000000"/>
            </w:tcBorders>
            <w:shd w:val="clear" w:color="auto" w:fill="auto"/>
            <w:vAlign w:val="center"/>
          </w:tcPr>
          <w:p w14:paraId="44903167"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R07, R12,R13</w:t>
            </w:r>
          </w:p>
        </w:tc>
      </w:tr>
      <w:tr w:rsidR="00B06EAD" w14:paraId="39F03683" w14:textId="77777777">
        <w:trPr>
          <w:trHeight w:val="794"/>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A93E"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top w:val="single" w:sz="4" w:space="0" w:color="000000"/>
              <w:bottom w:val="single" w:sz="4" w:space="0" w:color="000000"/>
              <w:right w:val="single" w:sz="4" w:space="0" w:color="000000"/>
            </w:tcBorders>
            <w:shd w:val="clear" w:color="auto" w:fill="auto"/>
            <w:vAlign w:val="center"/>
          </w:tcPr>
          <w:p w14:paraId="6387ACF4"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 02 02*</w:t>
            </w:r>
          </w:p>
        </w:tc>
        <w:tc>
          <w:tcPr>
            <w:tcW w:w="5726" w:type="dxa"/>
            <w:tcBorders>
              <w:top w:val="single" w:sz="4" w:space="0" w:color="000000"/>
              <w:bottom w:val="single" w:sz="4" w:space="0" w:color="000000"/>
              <w:right w:val="single" w:sz="4" w:space="0" w:color="000000"/>
            </w:tcBorders>
            <w:shd w:val="clear" w:color="auto" w:fill="auto"/>
            <w:vAlign w:val="center"/>
          </w:tcPr>
          <w:p w14:paraId="6702E92D"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абсорбенти</w:t>
            </w:r>
            <w:proofErr w:type="spellEnd"/>
            <w:r>
              <w:rPr>
                <w:rFonts w:ascii="Times New Roman" w:eastAsia="Times New Roman" w:hAnsi="Times New Roman" w:cs="Times New Roman"/>
                <w:sz w:val="18"/>
                <w:szCs w:val="18"/>
              </w:rPr>
              <w:t xml:space="preserve">, филтърни материали (включително маслени филтри, </w:t>
            </w:r>
            <w:proofErr w:type="spellStart"/>
            <w:r>
              <w:rPr>
                <w:rFonts w:ascii="Times New Roman" w:eastAsia="Times New Roman" w:hAnsi="Times New Roman" w:cs="Times New Roman"/>
                <w:sz w:val="18"/>
                <w:szCs w:val="18"/>
              </w:rPr>
              <w:t>неупоменати</w:t>
            </w:r>
            <w:proofErr w:type="spellEnd"/>
            <w:r>
              <w:rPr>
                <w:rFonts w:ascii="Times New Roman" w:eastAsia="Times New Roman" w:hAnsi="Times New Roman" w:cs="Times New Roman"/>
                <w:sz w:val="18"/>
                <w:szCs w:val="18"/>
              </w:rPr>
              <w:t xml:space="preserve"> другаде), кърпи за изтриване, предпазни облекла, замърсени с опасни вещества</w:t>
            </w:r>
          </w:p>
        </w:tc>
        <w:tc>
          <w:tcPr>
            <w:tcW w:w="1558" w:type="dxa"/>
            <w:tcBorders>
              <w:top w:val="single" w:sz="4" w:space="0" w:color="000000"/>
              <w:bottom w:val="single" w:sz="4" w:space="0" w:color="000000"/>
              <w:right w:val="single" w:sz="4" w:space="0" w:color="000000"/>
            </w:tcBorders>
            <w:shd w:val="clear" w:color="auto" w:fill="auto"/>
            <w:vAlign w:val="center"/>
          </w:tcPr>
          <w:p w14:paraId="75B849B2"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37A23319"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4F681B60"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67EF1F45"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 01 13*</w:t>
            </w:r>
          </w:p>
        </w:tc>
        <w:tc>
          <w:tcPr>
            <w:tcW w:w="5726" w:type="dxa"/>
            <w:tcBorders>
              <w:bottom w:val="single" w:sz="4" w:space="0" w:color="000000"/>
              <w:right w:val="single" w:sz="4" w:space="0" w:color="000000"/>
            </w:tcBorders>
            <w:shd w:val="clear" w:color="auto" w:fill="auto"/>
            <w:vAlign w:val="center"/>
          </w:tcPr>
          <w:p w14:paraId="5B8F7B66"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Спирачни течности</w:t>
            </w:r>
          </w:p>
        </w:tc>
        <w:tc>
          <w:tcPr>
            <w:tcW w:w="1558" w:type="dxa"/>
            <w:tcBorders>
              <w:bottom w:val="single" w:sz="4" w:space="0" w:color="000000"/>
              <w:right w:val="single" w:sz="4" w:space="0" w:color="000000"/>
            </w:tcBorders>
            <w:shd w:val="clear" w:color="auto" w:fill="auto"/>
            <w:vAlign w:val="center"/>
          </w:tcPr>
          <w:p w14:paraId="2A7DD006"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R02, R12,R13</w:t>
            </w:r>
          </w:p>
        </w:tc>
      </w:tr>
      <w:tr w:rsidR="00B06EAD" w14:paraId="0F98D3D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48F1368"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5FE86801"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 01 14*</w:t>
            </w:r>
          </w:p>
        </w:tc>
        <w:tc>
          <w:tcPr>
            <w:tcW w:w="5726" w:type="dxa"/>
            <w:tcBorders>
              <w:bottom w:val="single" w:sz="4" w:space="0" w:color="000000"/>
              <w:right w:val="single" w:sz="4" w:space="0" w:color="000000"/>
            </w:tcBorders>
            <w:shd w:val="clear" w:color="auto" w:fill="auto"/>
            <w:vAlign w:val="center"/>
          </w:tcPr>
          <w:p w14:paraId="71EAC56D"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Антифризни</w:t>
            </w:r>
            <w:proofErr w:type="spellEnd"/>
            <w:r>
              <w:rPr>
                <w:rFonts w:ascii="Times New Roman" w:eastAsia="Times New Roman" w:hAnsi="Times New Roman" w:cs="Times New Roman"/>
                <w:sz w:val="18"/>
                <w:szCs w:val="18"/>
              </w:rPr>
              <w:t xml:space="preserve"> течности, съдържащи опасни вещества</w:t>
            </w:r>
          </w:p>
        </w:tc>
        <w:tc>
          <w:tcPr>
            <w:tcW w:w="1558" w:type="dxa"/>
            <w:tcBorders>
              <w:bottom w:val="single" w:sz="4" w:space="0" w:color="000000"/>
              <w:right w:val="single" w:sz="4" w:space="0" w:color="000000"/>
            </w:tcBorders>
            <w:shd w:val="clear" w:color="auto" w:fill="auto"/>
            <w:vAlign w:val="center"/>
          </w:tcPr>
          <w:p w14:paraId="56A4E959"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R02, R12,R13</w:t>
            </w:r>
          </w:p>
        </w:tc>
      </w:tr>
      <w:tr w:rsidR="00B06EAD" w14:paraId="71635450"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5030CFB"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115F664"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16 01 15</w:t>
            </w:r>
          </w:p>
        </w:tc>
        <w:tc>
          <w:tcPr>
            <w:tcW w:w="5726" w:type="dxa"/>
            <w:tcBorders>
              <w:bottom w:val="single" w:sz="4" w:space="0" w:color="000000"/>
              <w:right w:val="single" w:sz="4" w:space="0" w:color="000000"/>
            </w:tcBorders>
            <w:shd w:val="clear" w:color="auto" w:fill="auto"/>
            <w:vAlign w:val="center"/>
          </w:tcPr>
          <w:p w14:paraId="129A21E3" w14:textId="77777777" w:rsidR="00B06EAD" w:rsidRDefault="00D20EBD">
            <w:pPr>
              <w:widowControl w:val="0"/>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Антифризни</w:t>
            </w:r>
            <w:proofErr w:type="spellEnd"/>
            <w:r>
              <w:rPr>
                <w:rFonts w:ascii="Times New Roman" w:eastAsia="Times New Roman" w:hAnsi="Times New Roman" w:cs="Times New Roman"/>
                <w:sz w:val="18"/>
                <w:szCs w:val="18"/>
              </w:rPr>
              <w:t xml:space="preserve"> течности, различни от упоменатите в 16 01 14*</w:t>
            </w:r>
          </w:p>
        </w:tc>
        <w:tc>
          <w:tcPr>
            <w:tcW w:w="1558" w:type="dxa"/>
            <w:tcBorders>
              <w:bottom w:val="single" w:sz="4" w:space="0" w:color="000000"/>
              <w:right w:val="single" w:sz="4" w:space="0" w:color="000000"/>
            </w:tcBorders>
            <w:shd w:val="clear" w:color="auto" w:fill="auto"/>
            <w:vAlign w:val="center"/>
          </w:tcPr>
          <w:p w14:paraId="3E12C6D9"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R02, R12,R13</w:t>
            </w:r>
          </w:p>
        </w:tc>
      </w:tr>
      <w:tr w:rsidR="00B06EAD" w14:paraId="643EE8B2"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0AA666F8"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2CC8ECC5"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19 02 03</w:t>
            </w:r>
          </w:p>
        </w:tc>
        <w:tc>
          <w:tcPr>
            <w:tcW w:w="5726" w:type="dxa"/>
            <w:tcBorders>
              <w:bottom w:val="single" w:sz="4" w:space="0" w:color="000000"/>
              <w:right w:val="single" w:sz="4" w:space="0" w:color="000000"/>
            </w:tcBorders>
            <w:shd w:val="clear" w:color="auto" w:fill="auto"/>
            <w:vAlign w:val="center"/>
          </w:tcPr>
          <w:p w14:paraId="33300FA5"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предварително смесени отпадъци, съставени само от неопасни отпадъци</w:t>
            </w:r>
          </w:p>
        </w:tc>
        <w:tc>
          <w:tcPr>
            <w:tcW w:w="1558" w:type="dxa"/>
            <w:tcBorders>
              <w:bottom w:val="single" w:sz="4" w:space="0" w:color="000000"/>
              <w:right w:val="single" w:sz="4" w:space="0" w:color="000000"/>
            </w:tcBorders>
            <w:shd w:val="clear" w:color="auto" w:fill="auto"/>
            <w:vAlign w:val="center"/>
          </w:tcPr>
          <w:p w14:paraId="55D4EAC2"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38BA780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C71D4C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5FD71AD"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02 04*</w:t>
            </w:r>
          </w:p>
        </w:tc>
        <w:tc>
          <w:tcPr>
            <w:tcW w:w="5726" w:type="dxa"/>
            <w:tcBorders>
              <w:bottom w:val="single" w:sz="4" w:space="0" w:color="000000"/>
              <w:right w:val="single" w:sz="4" w:space="0" w:color="000000"/>
            </w:tcBorders>
            <w:shd w:val="clear" w:color="auto" w:fill="auto"/>
            <w:vAlign w:val="center"/>
          </w:tcPr>
          <w:p w14:paraId="36FEABFA"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предварително смесени отпадъци, съдържащи поне един опасен отпадък</w:t>
            </w:r>
          </w:p>
        </w:tc>
        <w:tc>
          <w:tcPr>
            <w:tcW w:w="1558" w:type="dxa"/>
            <w:tcBorders>
              <w:bottom w:val="single" w:sz="4" w:space="0" w:color="000000"/>
              <w:right w:val="single" w:sz="4" w:space="0" w:color="000000"/>
            </w:tcBorders>
            <w:shd w:val="clear" w:color="auto" w:fill="auto"/>
            <w:vAlign w:val="center"/>
          </w:tcPr>
          <w:p w14:paraId="63185D26"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21B6D99A"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49AD292"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228D0FD2"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02 05*</w:t>
            </w:r>
          </w:p>
        </w:tc>
        <w:tc>
          <w:tcPr>
            <w:tcW w:w="5726" w:type="dxa"/>
            <w:tcBorders>
              <w:bottom w:val="single" w:sz="4" w:space="0" w:color="000000"/>
              <w:right w:val="single" w:sz="4" w:space="0" w:color="000000"/>
            </w:tcBorders>
            <w:shd w:val="clear" w:color="auto" w:fill="auto"/>
            <w:vAlign w:val="center"/>
          </w:tcPr>
          <w:p w14:paraId="18A4AA8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физикохимично обработване, съдържащи опасни вещества</w:t>
            </w:r>
          </w:p>
        </w:tc>
        <w:tc>
          <w:tcPr>
            <w:tcW w:w="1558" w:type="dxa"/>
            <w:tcBorders>
              <w:bottom w:val="single" w:sz="4" w:space="0" w:color="000000"/>
              <w:right w:val="single" w:sz="4" w:space="0" w:color="000000"/>
            </w:tcBorders>
            <w:shd w:val="clear" w:color="auto" w:fill="auto"/>
            <w:vAlign w:val="center"/>
          </w:tcPr>
          <w:p w14:paraId="002EE293"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7448E357"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7EC6A543"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25BEEC09"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08 11*</w:t>
            </w:r>
          </w:p>
        </w:tc>
        <w:tc>
          <w:tcPr>
            <w:tcW w:w="5726" w:type="dxa"/>
            <w:tcBorders>
              <w:bottom w:val="single" w:sz="4" w:space="0" w:color="000000"/>
              <w:right w:val="single" w:sz="4" w:space="0" w:color="000000"/>
            </w:tcBorders>
            <w:shd w:val="clear" w:color="auto" w:fill="auto"/>
            <w:vAlign w:val="center"/>
          </w:tcPr>
          <w:p w14:paraId="2871CFF1"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съдържащи опасни вещества от биологично пречистване на промишлени отпадъчни води</w:t>
            </w:r>
          </w:p>
        </w:tc>
        <w:tc>
          <w:tcPr>
            <w:tcW w:w="1558" w:type="dxa"/>
            <w:tcBorders>
              <w:bottom w:val="single" w:sz="4" w:space="0" w:color="000000"/>
              <w:right w:val="single" w:sz="4" w:space="0" w:color="000000"/>
            </w:tcBorders>
            <w:shd w:val="clear" w:color="auto" w:fill="auto"/>
            <w:vAlign w:val="center"/>
          </w:tcPr>
          <w:p w14:paraId="31430CA5"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64996EC4"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2B4672CC"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48AECF0E"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19 02 06</w:t>
            </w:r>
          </w:p>
        </w:tc>
        <w:tc>
          <w:tcPr>
            <w:tcW w:w="5726" w:type="dxa"/>
            <w:tcBorders>
              <w:bottom w:val="single" w:sz="4" w:space="0" w:color="000000"/>
              <w:right w:val="single" w:sz="4" w:space="0" w:color="000000"/>
            </w:tcBorders>
            <w:shd w:val="clear" w:color="auto" w:fill="auto"/>
            <w:vAlign w:val="center"/>
          </w:tcPr>
          <w:p w14:paraId="754A28D8"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утайки от физикохимично обработване, различни от упоменатите в 19 02 05</w:t>
            </w:r>
          </w:p>
        </w:tc>
        <w:tc>
          <w:tcPr>
            <w:tcW w:w="1558" w:type="dxa"/>
            <w:tcBorders>
              <w:bottom w:val="single" w:sz="4" w:space="0" w:color="000000"/>
              <w:right w:val="single" w:sz="4" w:space="0" w:color="000000"/>
            </w:tcBorders>
            <w:shd w:val="clear" w:color="auto" w:fill="auto"/>
            <w:vAlign w:val="center"/>
          </w:tcPr>
          <w:p w14:paraId="390DE1BA"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6C4971A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6D3B3901"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406D978"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12 11*</w:t>
            </w:r>
          </w:p>
        </w:tc>
        <w:tc>
          <w:tcPr>
            <w:tcW w:w="5726" w:type="dxa"/>
            <w:tcBorders>
              <w:bottom w:val="single" w:sz="4" w:space="0" w:color="000000"/>
              <w:right w:val="single" w:sz="4" w:space="0" w:color="000000"/>
            </w:tcBorders>
            <w:shd w:val="clear" w:color="auto" w:fill="auto"/>
            <w:vAlign w:val="center"/>
          </w:tcPr>
          <w:p w14:paraId="65D19F0B"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отпадъци (включително смеси от материали) от механично третиране на отпадъци, съдържащи опасни вещества</w:t>
            </w:r>
          </w:p>
        </w:tc>
        <w:tc>
          <w:tcPr>
            <w:tcW w:w="1558" w:type="dxa"/>
            <w:tcBorders>
              <w:bottom w:val="single" w:sz="4" w:space="0" w:color="000000"/>
              <w:right w:val="single" w:sz="4" w:space="0" w:color="000000"/>
            </w:tcBorders>
            <w:shd w:val="clear" w:color="auto" w:fill="auto"/>
            <w:vAlign w:val="center"/>
          </w:tcPr>
          <w:p w14:paraId="35CF49A8"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54ECBD33"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5899A8F2"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19F33C3C"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19 12 12</w:t>
            </w:r>
          </w:p>
        </w:tc>
        <w:tc>
          <w:tcPr>
            <w:tcW w:w="5726" w:type="dxa"/>
            <w:tcBorders>
              <w:bottom w:val="single" w:sz="4" w:space="0" w:color="000000"/>
              <w:right w:val="single" w:sz="4" w:space="0" w:color="000000"/>
            </w:tcBorders>
            <w:shd w:val="clear" w:color="auto" w:fill="auto"/>
            <w:vAlign w:val="center"/>
          </w:tcPr>
          <w:p w14:paraId="235A87FD"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отпадъци (включително смеси от материали) от механично третиране на отпадъци, различни от упоменатите в 19 12 11</w:t>
            </w:r>
          </w:p>
        </w:tc>
        <w:tc>
          <w:tcPr>
            <w:tcW w:w="1558" w:type="dxa"/>
            <w:tcBorders>
              <w:bottom w:val="single" w:sz="4" w:space="0" w:color="000000"/>
              <w:right w:val="single" w:sz="4" w:space="0" w:color="000000"/>
            </w:tcBorders>
            <w:shd w:val="clear" w:color="auto" w:fill="auto"/>
            <w:vAlign w:val="center"/>
          </w:tcPr>
          <w:p w14:paraId="631FC59B" w14:textId="77777777" w:rsidR="00B06EAD" w:rsidRDefault="00D20EBD">
            <w:pPr>
              <w:widowControl w:val="0"/>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R12,R13</w:t>
            </w:r>
          </w:p>
        </w:tc>
      </w:tr>
      <w:tr w:rsidR="00B06EAD" w14:paraId="73C98605" w14:textId="77777777">
        <w:trPr>
          <w:trHeight w:val="567"/>
        </w:trPr>
        <w:tc>
          <w:tcPr>
            <w:tcW w:w="797" w:type="dxa"/>
            <w:tcBorders>
              <w:left w:val="single" w:sz="4" w:space="0" w:color="000000"/>
              <w:bottom w:val="single" w:sz="4" w:space="0" w:color="000000"/>
              <w:right w:val="single" w:sz="4" w:space="0" w:color="000000"/>
            </w:tcBorders>
            <w:shd w:val="clear" w:color="auto" w:fill="auto"/>
            <w:vAlign w:val="center"/>
          </w:tcPr>
          <w:p w14:paraId="19232AF7" w14:textId="77777777" w:rsidR="00B06EAD" w:rsidRDefault="00B06EAD">
            <w:pPr>
              <w:pStyle w:val="af5"/>
              <w:widowControl w:val="0"/>
              <w:numPr>
                <w:ilvl w:val="0"/>
                <w:numId w:val="1"/>
              </w:numPr>
              <w:spacing w:after="0" w:line="240" w:lineRule="auto"/>
              <w:jc w:val="center"/>
              <w:rPr>
                <w:rFonts w:ascii="Times New Roman" w:eastAsia="Times New Roman" w:hAnsi="Times New Roman" w:cs="Times New Roman"/>
                <w:b/>
                <w:bCs/>
                <w:sz w:val="18"/>
                <w:szCs w:val="18"/>
              </w:rPr>
            </w:pPr>
          </w:p>
        </w:tc>
        <w:tc>
          <w:tcPr>
            <w:tcW w:w="991" w:type="dxa"/>
            <w:tcBorders>
              <w:bottom w:val="single" w:sz="4" w:space="0" w:color="000000"/>
              <w:right w:val="single" w:sz="4" w:space="0" w:color="000000"/>
            </w:tcBorders>
            <w:shd w:val="clear" w:color="auto" w:fill="auto"/>
            <w:vAlign w:val="center"/>
          </w:tcPr>
          <w:p w14:paraId="75340C9C"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 01 13*</w:t>
            </w:r>
          </w:p>
        </w:tc>
        <w:tc>
          <w:tcPr>
            <w:tcW w:w="5726" w:type="dxa"/>
            <w:tcBorders>
              <w:bottom w:val="single" w:sz="4" w:space="0" w:color="000000"/>
              <w:right w:val="single" w:sz="4" w:space="0" w:color="000000"/>
            </w:tcBorders>
            <w:shd w:val="clear" w:color="auto" w:fill="auto"/>
            <w:vAlign w:val="center"/>
          </w:tcPr>
          <w:p w14:paraId="68D4B66E" w14:textId="77777777" w:rsidR="00B06EAD" w:rsidRDefault="00D20EBD">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Разтворители</w:t>
            </w:r>
          </w:p>
        </w:tc>
        <w:tc>
          <w:tcPr>
            <w:tcW w:w="1558" w:type="dxa"/>
            <w:tcBorders>
              <w:bottom w:val="single" w:sz="4" w:space="0" w:color="000000"/>
              <w:right w:val="single" w:sz="4" w:space="0" w:color="000000"/>
            </w:tcBorders>
            <w:shd w:val="clear" w:color="auto" w:fill="auto"/>
            <w:vAlign w:val="center"/>
          </w:tcPr>
          <w:p w14:paraId="43677A3E" w14:textId="77777777" w:rsidR="00B06EAD" w:rsidRDefault="00D20EBD">
            <w:pPr>
              <w:widowControl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R02, R12,R13</w:t>
            </w:r>
          </w:p>
        </w:tc>
      </w:tr>
    </w:tbl>
    <w:p w14:paraId="1527646E" w14:textId="77777777" w:rsidR="00B06EAD" w:rsidRDefault="00D20EBD">
      <w:pPr>
        <w:spacing w:before="120" w:after="0" w:line="240" w:lineRule="auto"/>
        <w:ind w:right="340" w:firstLine="567"/>
        <w:jc w:val="both"/>
        <w:rPr>
          <w:rFonts w:ascii="Times New Roman" w:eastAsia="Times New Roman" w:hAnsi="Times New Roman" w:cs="Times New Roman"/>
          <w:i/>
          <w:iCs/>
          <w:sz w:val="24"/>
          <w:szCs w:val="24"/>
          <w:lang w:eastAsia="bg-BG"/>
        </w:rPr>
      </w:pPr>
      <w:r>
        <w:rPr>
          <w:rFonts w:ascii="Times New Roman" w:eastAsia="Times New Roman" w:hAnsi="Times New Roman" w:cs="Times New Roman"/>
          <w:i/>
          <w:iCs/>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2344981E" w14:textId="77777777" w:rsidR="00B06EAD" w:rsidRDefault="00D20EBD">
      <w:pPr>
        <w:spacing w:before="24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2. Описание на основните процеси, капацитет</w:t>
      </w:r>
      <w:r>
        <w:rPr>
          <w:rFonts w:ascii="Times New Roman" w:eastAsia="Times New Roman" w:hAnsi="Times New Roman" w:cs="Times New Roman"/>
          <w:sz w:val="24"/>
          <w:szCs w:val="24"/>
          <w:lang w:eastAsia="bg-BG"/>
        </w:rPr>
        <w:t>,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198C8DAB" w14:textId="77777777" w:rsidR="00B06EAD" w:rsidRDefault="00D20EBD">
      <w:pPr>
        <w:spacing w:before="240" w:after="0" w:line="288" w:lineRule="auto"/>
        <w:ind w:right="340"/>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 xml:space="preserve">Инвестиционното предложение ще се осъществи на поземлен имот с идентификатор </w:t>
      </w:r>
      <w:r>
        <w:rPr>
          <w:rFonts w:ascii="Times New Roman" w:hAnsi="Times New Roman" w:cs="Times New Roman"/>
          <w:sz w:val="24"/>
          <w:szCs w:val="24"/>
        </w:rPr>
        <w:t>имот с идентификатор 56784.503.465</w:t>
      </w:r>
      <w:r>
        <w:rPr>
          <w:rFonts w:ascii="Times New Roman" w:eastAsia="Times New Roman" w:hAnsi="Times New Roman" w:cs="Times New Roman"/>
          <w:iCs/>
          <w:sz w:val="24"/>
          <w:szCs w:val="24"/>
          <w:lang w:eastAsia="bg-BG"/>
        </w:rPr>
        <w:t xml:space="preserve">. </w:t>
      </w:r>
      <w:r>
        <w:rPr>
          <w:rFonts w:ascii="Times New Roman" w:eastAsia="Times New Roman" w:hAnsi="Times New Roman" w:cs="Times New Roman"/>
          <w:iCs/>
          <w:color w:val="000000"/>
          <w:sz w:val="24"/>
          <w:szCs w:val="24"/>
          <w:lang w:eastAsia="bg-BG"/>
        </w:rPr>
        <w:t xml:space="preserve">Ще се използва съществуващата техническа инфраструктура, не се предвижда изграждане на нови  пътища, електропроводи и др. </w:t>
      </w:r>
    </w:p>
    <w:p w14:paraId="402399A2" w14:textId="77777777" w:rsidR="00B06EAD" w:rsidRDefault="00D20EBD">
      <w:pPr>
        <w:spacing w:after="0" w:line="288" w:lineRule="auto"/>
        <w:ind w:right="340"/>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Основната дейност на площадката ще бъде дълбоко регенериране на отпадъчни и замърсени разтворители</w:t>
      </w:r>
      <w:r>
        <w:rPr>
          <w:rFonts w:ascii="Times New Roman" w:hAnsi="Times New Roman" w:cs="Times New Roman"/>
          <w:sz w:val="24"/>
          <w:szCs w:val="24"/>
        </w:rPr>
        <w:t>. Инсталацията ще дава възможност  да се извлекат, регенерират и да се използват повторно разтворителите на органична основа, а в отпадъците, съдържащи вода – да се намали обема им с над 95%. Предвидените</w:t>
      </w:r>
      <w:r>
        <w:rPr>
          <w:rFonts w:ascii="Times New Roman" w:eastAsia="Times New Roman" w:hAnsi="Times New Roman" w:cs="Times New Roman"/>
          <w:iCs/>
          <w:sz w:val="24"/>
          <w:szCs w:val="24"/>
          <w:lang w:eastAsia="bg-BG"/>
        </w:rPr>
        <w:t xml:space="preserve"> съоръжения ще позволяват цялостно (на 100%) извличане и пречистване на органичните разтворители, съдържащи летливи органични съединения (ЛОС), което ги прави напълно годни за повторна употреба.</w:t>
      </w:r>
    </w:p>
    <w:p w14:paraId="30C9C4C1" w14:textId="77777777" w:rsidR="00B06EAD" w:rsidRDefault="00D20EBD">
      <w:pPr>
        <w:spacing w:before="240" w:after="0" w:line="288" w:lineRule="auto"/>
        <w:ind w:right="340" w:firstLine="567"/>
        <w:jc w:val="both"/>
        <w:rPr>
          <w:rFonts w:ascii="Times New Roman" w:hAnsi="Times New Roman" w:cs="Times New Roman"/>
          <w:b/>
          <w:sz w:val="28"/>
          <w:szCs w:val="28"/>
        </w:rPr>
      </w:pPr>
      <w:r>
        <w:rPr>
          <w:rFonts w:ascii="Times New Roman" w:hAnsi="Times New Roman" w:cs="Times New Roman"/>
          <w:b/>
          <w:sz w:val="28"/>
          <w:szCs w:val="28"/>
        </w:rPr>
        <w:t>Технология:</w:t>
      </w:r>
    </w:p>
    <w:p w14:paraId="478DDEFA" w14:textId="77777777" w:rsidR="00B06EAD" w:rsidRDefault="00D20EBD">
      <w:pPr>
        <w:spacing w:before="120" w:after="0" w:line="288" w:lineRule="auto"/>
        <w:ind w:right="340" w:firstLine="567"/>
        <w:jc w:val="both"/>
        <w:rPr>
          <w:rFonts w:ascii="Times New Roman" w:hAnsi="Times New Roman" w:cs="Times New Roman"/>
          <w:b/>
          <w:sz w:val="24"/>
          <w:szCs w:val="24"/>
        </w:rPr>
      </w:pPr>
      <w:r>
        <w:rPr>
          <w:rFonts w:ascii="Times New Roman" w:hAnsi="Times New Roman" w:cs="Times New Roman"/>
          <w:b/>
          <w:sz w:val="24"/>
          <w:szCs w:val="24"/>
        </w:rPr>
        <w:t>Подготовка преди регенериране на разтворители</w:t>
      </w:r>
    </w:p>
    <w:p w14:paraId="28B005DF" w14:textId="77777777" w:rsidR="00B06EAD" w:rsidRDefault="00D20EBD">
      <w:pPr>
        <w:spacing w:after="0" w:line="288" w:lineRule="auto"/>
        <w:ind w:right="339"/>
        <w:jc w:val="both"/>
        <w:rPr>
          <w:rFonts w:ascii="Times New Roman" w:hAnsi="Times New Roman" w:cs="Times New Roman"/>
          <w:sz w:val="24"/>
          <w:szCs w:val="24"/>
        </w:rPr>
      </w:pPr>
      <w:r>
        <w:rPr>
          <w:rFonts w:ascii="Times New Roman" w:hAnsi="Times New Roman" w:cs="Times New Roman"/>
          <w:sz w:val="24"/>
          <w:szCs w:val="24"/>
        </w:rPr>
        <w:t xml:space="preserve">След получаване различните партиди от отпадъци, те се сортират по вид на съдържащия се разтворител и състав и преди подлагане на дестилация тези, с еднакъв състав се </w:t>
      </w:r>
      <w:proofErr w:type="spellStart"/>
      <w:r>
        <w:rPr>
          <w:rFonts w:ascii="Times New Roman" w:hAnsi="Times New Roman" w:cs="Times New Roman"/>
          <w:sz w:val="24"/>
          <w:szCs w:val="24"/>
        </w:rPr>
        <w:t>хомогенезират</w:t>
      </w:r>
      <w:proofErr w:type="spellEnd"/>
      <w:r>
        <w:rPr>
          <w:rFonts w:ascii="Times New Roman" w:hAnsi="Times New Roman" w:cs="Times New Roman"/>
          <w:sz w:val="24"/>
          <w:szCs w:val="24"/>
        </w:rPr>
        <w:t xml:space="preserve"> в специален смесител до получаване на нужната консистенция. Ако нужната консистенция не се постигне само със смесване на партиди с различно съдържание на разтворител то се добавя и чист такъв.</w:t>
      </w:r>
    </w:p>
    <w:p w14:paraId="03DE08D1" w14:textId="77777777" w:rsidR="00B06EAD" w:rsidRDefault="00D20EBD">
      <w:pPr>
        <w:spacing w:after="0" w:line="288" w:lineRule="auto"/>
        <w:ind w:right="339"/>
        <w:jc w:val="both"/>
        <w:rPr>
          <w:rFonts w:ascii="Times New Roman" w:hAnsi="Times New Roman" w:cs="Times New Roman"/>
          <w:b/>
          <w:sz w:val="24"/>
          <w:szCs w:val="24"/>
        </w:rPr>
      </w:pPr>
      <w:r>
        <w:rPr>
          <w:rFonts w:ascii="Times New Roman" w:hAnsi="Times New Roman" w:cs="Times New Roman"/>
          <w:b/>
          <w:sz w:val="24"/>
          <w:szCs w:val="24"/>
        </w:rPr>
        <w:t xml:space="preserve">Не се допуска смесване на партиди с различен състав с цел недопускане протичането на реакции на химично превръщане между тях. След всяко смесване </w:t>
      </w:r>
      <w:proofErr w:type="spellStart"/>
      <w:r>
        <w:rPr>
          <w:rFonts w:ascii="Times New Roman" w:hAnsi="Times New Roman" w:cs="Times New Roman"/>
          <w:b/>
          <w:sz w:val="24"/>
          <w:szCs w:val="24"/>
        </w:rPr>
        <w:t>хомогенезатора</w:t>
      </w:r>
      <w:proofErr w:type="spellEnd"/>
      <w:r>
        <w:rPr>
          <w:rFonts w:ascii="Times New Roman" w:hAnsi="Times New Roman" w:cs="Times New Roman"/>
          <w:b/>
          <w:sz w:val="24"/>
          <w:szCs w:val="24"/>
        </w:rPr>
        <w:t xml:space="preserve"> се почиства щателно, преди да бъде зареден с различна партида отпадък.</w:t>
      </w:r>
    </w:p>
    <w:p w14:paraId="7804F45E" w14:textId="77777777" w:rsidR="00B06EAD" w:rsidRDefault="00D20EBD">
      <w:pPr>
        <w:spacing w:after="0" w:line="288" w:lineRule="auto"/>
        <w:ind w:right="339"/>
        <w:jc w:val="both"/>
        <w:rPr>
          <w:rFonts w:ascii="Times New Roman" w:hAnsi="Times New Roman" w:cs="Times New Roman"/>
          <w:b/>
          <w:sz w:val="24"/>
          <w:szCs w:val="24"/>
        </w:rPr>
      </w:pPr>
      <w:r>
        <w:rPr>
          <w:rFonts w:ascii="Times New Roman" w:hAnsi="Times New Roman" w:cs="Times New Roman"/>
          <w:sz w:val="24"/>
          <w:szCs w:val="24"/>
        </w:rPr>
        <w:t xml:space="preserve">Така получения в </w:t>
      </w:r>
      <w:proofErr w:type="spellStart"/>
      <w:r>
        <w:rPr>
          <w:rFonts w:ascii="Times New Roman" w:hAnsi="Times New Roman" w:cs="Times New Roman"/>
          <w:sz w:val="24"/>
          <w:szCs w:val="24"/>
        </w:rPr>
        <w:t>хомогенизатора</w:t>
      </w:r>
      <w:proofErr w:type="spellEnd"/>
      <w:r>
        <w:rPr>
          <w:rFonts w:ascii="Times New Roman" w:hAnsi="Times New Roman" w:cs="Times New Roman"/>
          <w:sz w:val="24"/>
          <w:szCs w:val="24"/>
        </w:rPr>
        <w:t xml:space="preserve"> полуфабрикат се подлага на процес от последователни дестилации при различни температури и налягания. Сухият остатък получен при дестилацията се явява отпадък, а дестилатът представлява пречистен разтворител или вода.</w:t>
      </w:r>
    </w:p>
    <w:p w14:paraId="711FAE0F" w14:textId="77777777" w:rsidR="00B06EAD" w:rsidRDefault="00D20EBD">
      <w:pPr>
        <w:spacing w:after="0" w:line="288" w:lineRule="auto"/>
        <w:ind w:right="340"/>
        <w:jc w:val="both"/>
        <w:rPr>
          <w:rFonts w:ascii="Times New Roman" w:hAnsi="Times New Roman" w:cs="Times New Roman"/>
          <w:sz w:val="24"/>
          <w:szCs w:val="24"/>
        </w:rPr>
      </w:pPr>
      <w:r>
        <w:rPr>
          <w:rFonts w:ascii="Times New Roman" w:hAnsi="Times New Roman" w:cs="Times New Roman"/>
          <w:sz w:val="24"/>
          <w:szCs w:val="24"/>
        </w:rPr>
        <w:lastRenderedPageBreak/>
        <w:t xml:space="preserve">Дейностите по сортиране и </w:t>
      </w:r>
      <w:proofErr w:type="spellStart"/>
      <w:r>
        <w:rPr>
          <w:rFonts w:ascii="Times New Roman" w:hAnsi="Times New Roman" w:cs="Times New Roman"/>
          <w:sz w:val="24"/>
          <w:szCs w:val="24"/>
        </w:rPr>
        <w:t>хомогенезиране</w:t>
      </w:r>
      <w:proofErr w:type="spellEnd"/>
      <w:r>
        <w:rPr>
          <w:rFonts w:ascii="Times New Roman" w:hAnsi="Times New Roman" w:cs="Times New Roman"/>
          <w:sz w:val="24"/>
          <w:szCs w:val="24"/>
        </w:rPr>
        <w:t xml:space="preserve"> се класифицират с код R12 - Размяна на отпадъци за подлагане на някоя от дейностите с кодове R1 – R11 – според Допълнителните разпоредби на Закона за управление на отпадъците.</w:t>
      </w:r>
    </w:p>
    <w:p w14:paraId="676575A6" w14:textId="77777777" w:rsidR="00B06EAD" w:rsidRDefault="00D20EBD">
      <w:pPr>
        <w:spacing w:before="120" w:after="0" w:line="288" w:lineRule="auto"/>
        <w:ind w:right="340" w:firstLine="567"/>
        <w:jc w:val="both"/>
        <w:rPr>
          <w:rFonts w:ascii="Times New Roman" w:hAnsi="Times New Roman" w:cs="Times New Roman"/>
          <w:sz w:val="24"/>
          <w:szCs w:val="24"/>
        </w:rPr>
      </w:pPr>
      <w:r>
        <w:rPr>
          <w:rFonts w:ascii="Times New Roman" w:hAnsi="Times New Roman" w:cs="Times New Roman"/>
          <w:b/>
          <w:sz w:val="24"/>
          <w:szCs w:val="24"/>
        </w:rPr>
        <w:t>Регенериране на разтворителите</w:t>
      </w:r>
      <w:r>
        <w:rPr>
          <w:rFonts w:ascii="Times New Roman" w:hAnsi="Times New Roman" w:cs="Times New Roman"/>
          <w:sz w:val="24"/>
          <w:szCs w:val="24"/>
        </w:rPr>
        <w:t xml:space="preserve"> </w:t>
      </w:r>
    </w:p>
    <w:p w14:paraId="3A5F596A" w14:textId="77777777" w:rsidR="00B06EAD" w:rsidRDefault="00D20EB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Отпадъците, който подлежат на регенерация представляват партиди с различно съдържание на разтворители. Това са отпадъци, съдържащи разтворители като ацетон, </w:t>
      </w:r>
      <w:proofErr w:type="spellStart"/>
      <w:r>
        <w:rPr>
          <w:rFonts w:ascii="Times New Roman" w:hAnsi="Times New Roman" w:cs="Times New Roman"/>
          <w:sz w:val="24"/>
          <w:szCs w:val="24"/>
        </w:rPr>
        <w:t>метилетил</w:t>
      </w:r>
      <w:proofErr w:type="spellEnd"/>
      <w:r>
        <w:rPr>
          <w:rFonts w:ascii="Times New Roman" w:hAnsi="Times New Roman" w:cs="Times New Roman"/>
          <w:sz w:val="24"/>
          <w:szCs w:val="24"/>
        </w:rPr>
        <w:t xml:space="preserve"> кетон, етанол, </w:t>
      </w:r>
      <w:proofErr w:type="spellStart"/>
      <w:r>
        <w:rPr>
          <w:rFonts w:ascii="Times New Roman" w:hAnsi="Times New Roman" w:cs="Times New Roman"/>
          <w:sz w:val="24"/>
          <w:szCs w:val="24"/>
        </w:rPr>
        <w:t>изопропанол</w:t>
      </w:r>
      <w:proofErr w:type="spellEnd"/>
      <w:r>
        <w:rPr>
          <w:rFonts w:ascii="Times New Roman" w:hAnsi="Times New Roman" w:cs="Times New Roman"/>
          <w:sz w:val="24"/>
          <w:szCs w:val="24"/>
        </w:rPr>
        <w:t xml:space="preserve">, други алкохоли, </w:t>
      </w:r>
      <w:proofErr w:type="spellStart"/>
      <w:r>
        <w:rPr>
          <w:rFonts w:ascii="Times New Roman" w:hAnsi="Times New Roman" w:cs="Times New Roman"/>
          <w:sz w:val="24"/>
          <w:szCs w:val="24"/>
        </w:rPr>
        <w:t>кореселин</w:t>
      </w:r>
      <w:proofErr w:type="spellEnd"/>
      <w:r>
        <w:rPr>
          <w:rFonts w:ascii="Times New Roman" w:hAnsi="Times New Roman" w:cs="Times New Roman"/>
          <w:sz w:val="24"/>
          <w:szCs w:val="24"/>
        </w:rPr>
        <w:t xml:space="preserve">, вода, етер-естери на </w:t>
      </w:r>
      <w:proofErr w:type="spellStart"/>
      <w:r>
        <w:rPr>
          <w:rFonts w:ascii="Times New Roman" w:hAnsi="Times New Roman" w:cs="Times New Roman"/>
          <w:sz w:val="24"/>
          <w:szCs w:val="24"/>
        </w:rPr>
        <w:t>пропиленгликол</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моноетиленгликол</w:t>
      </w:r>
      <w:proofErr w:type="spellEnd"/>
      <w:r>
        <w:rPr>
          <w:rFonts w:ascii="Times New Roman" w:hAnsi="Times New Roman" w:cs="Times New Roman"/>
          <w:sz w:val="24"/>
          <w:szCs w:val="24"/>
        </w:rPr>
        <w:t>. Подлагат се на процес от последователни дестилации в различни по тип съоръжения, при различни температури и налягания.</w:t>
      </w:r>
    </w:p>
    <w:p w14:paraId="76F617DD" w14:textId="77777777" w:rsidR="00B06EAD" w:rsidRDefault="00D20EBD">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Процесите на последователна дестилация са изцяло физични – протичат без реакции на химични превръщания.</w:t>
      </w:r>
    </w:p>
    <w:p w14:paraId="59FE69C0" w14:textId="77777777" w:rsidR="00B06EAD" w:rsidRDefault="00D20EBD">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 xml:space="preserve">След последния етап се образува до 5% сух остатък, който представлява механична смес от изначално съдържащите се в отпадъците неразтворими компоненти – поливинил хлорид, поливинил ацетат, багрила на основата на </w:t>
      </w:r>
      <w:proofErr w:type="spellStart"/>
      <w:r>
        <w:rPr>
          <w:rFonts w:ascii="Times New Roman" w:hAnsi="Times New Roman" w:cs="Times New Roman"/>
          <w:b/>
          <w:sz w:val="24"/>
          <w:szCs w:val="24"/>
        </w:rPr>
        <w:t>металокомплексни</w:t>
      </w:r>
      <w:proofErr w:type="spellEnd"/>
      <w:r>
        <w:rPr>
          <w:rFonts w:ascii="Times New Roman" w:hAnsi="Times New Roman" w:cs="Times New Roman"/>
          <w:b/>
          <w:sz w:val="24"/>
          <w:szCs w:val="24"/>
        </w:rPr>
        <w:t xml:space="preserve"> съединения.</w:t>
      </w:r>
      <w:r>
        <w:rPr>
          <w:rFonts w:ascii="Times New Roman" w:hAnsi="Times New Roman" w:cs="Times New Roman"/>
          <w:sz w:val="24"/>
          <w:szCs w:val="24"/>
        </w:rPr>
        <w:t xml:space="preserve"> В зависимост от партидата регенерирани разтворители в сухия остатък могат да се отделят единствено минерални багрила, годни за повторна употреба.</w:t>
      </w:r>
    </w:p>
    <w:p w14:paraId="102BDD52" w14:textId="77777777" w:rsidR="00B06EAD" w:rsidRDefault="00D20EB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Така получения в </w:t>
      </w:r>
      <w:proofErr w:type="spellStart"/>
      <w:r>
        <w:rPr>
          <w:rFonts w:ascii="Times New Roman" w:hAnsi="Times New Roman" w:cs="Times New Roman"/>
          <w:sz w:val="24"/>
          <w:szCs w:val="24"/>
        </w:rPr>
        <w:t>хомогенизатора</w:t>
      </w:r>
      <w:proofErr w:type="spellEnd"/>
      <w:r>
        <w:rPr>
          <w:rFonts w:ascii="Times New Roman" w:hAnsi="Times New Roman" w:cs="Times New Roman"/>
          <w:sz w:val="24"/>
          <w:szCs w:val="24"/>
        </w:rPr>
        <w:t xml:space="preserve"> полуфабрикат се подлага на процес от последователни дестилации при различни температури и налягания. Сухият остатък получен при дестилацията се явява отпадък, а дестилатът представлява пречистен разтворител или вода. Регулирането на температурата и налягането в различните съоръжения позволява последователно да се отделят различните компоненти. Полученият в процеса пречистен разтворител може да бъде използван повторно. Процеса продължава до получаване на сух остатък и пълното извличане на съдържащия се разтворител. Сухият остатък се явява отпадък и представлява маси с твърда консистенция, които се съхраняват на площадката на обекта, преди да се депонират в подходящото депо за отпадъци със съответните документи по чл. 35 от Закона за управление на отпадъците. При максимално натоварване</w:t>
      </w:r>
      <w:r>
        <w:rPr>
          <w:rFonts w:ascii="Times New Roman" w:hAnsi="Times New Roman" w:cs="Times New Roman"/>
          <w:color w:val="FF0000"/>
          <w:sz w:val="24"/>
          <w:szCs w:val="24"/>
        </w:rPr>
        <w:t xml:space="preserve"> </w:t>
      </w:r>
      <w:r>
        <w:rPr>
          <w:rFonts w:ascii="Times New Roman" w:hAnsi="Times New Roman" w:cs="Times New Roman"/>
          <w:sz w:val="24"/>
          <w:szCs w:val="24"/>
        </w:rPr>
        <w:t>на технологичната линия с отпадъци, съдържащи разтворители подлежащи на регенерация се предвижда те да са  под 2700 тона годишно.</w:t>
      </w:r>
    </w:p>
    <w:p w14:paraId="7DD63BD9" w14:textId="77777777" w:rsidR="00B06EAD" w:rsidRDefault="00D20EBD">
      <w:pPr>
        <w:spacing w:before="120" w:after="0" w:line="288" w:lineRule="auto"/>
        <w:ind w:right="-2"/>
        <w:jc w:val="both"/>
        <w:rPr>
          <w:rFonts w:ascii="Times New Roman" w:hAnsi="Times New Roman" w:cs="Times New Roman"/>
          <w:sz w:val="24"/>
          <w:szCs w:val="24"/>
        </w:rPr>
      </w:pPr>
      <w:r>
        <w:rPr>
          <w:rFonts w:ascii="Times New Roman" w:hAnsi="Times New Roman" w:cs="Times New Roman"/>
          <w:sz w:val="24"/>
          <w:szCs w:val="24"/>
        </w:rPr>
        <w:t>Дейностите по регенериране на разтворители се класифицират с код R2 – Възстановяване/регенериране на разтворители – според Допълнителните разпоредби на Закона за управление на отпадъците.</w:t>
      </w:r>
    </w:p>
    <w:p w14:paraId="1EC2E25B" w14:textId="77777777" w:rsidR="00B06EAD" w:rsidRDefault="00D20EBD">
      <w:pPr>
        <w:spacing w:before="120" w:after="0" w:line="288" w:lineRule="auto"/>
        <w:ind w:right="-2"/>
        <w:jc w:val="both"/>
        <w:rPr>
          <w:rFonts w:ascii="Times New Roman" w:hAnsi="Times New Roman" w:cs="Times New Roman"/>
          <w:sz w:val="24"/>
          <w:szCs w:val="24"/>
        </w:rPr>
      </w:pPr>
      <w:r>
        <w:rPr>
          <w:rFonts w:ascii="Times New Roman" w:hAnsi="Times New Roman" w:cs="Times New Roman"/>
          <w:sz w:val="24"/>
          <w:szCs w:val="24"/>
        </w:rPr>
        <w:t>Процесът на работа на всички съоръжения е периодичен. Технологичните съоръжения включват:</w:t>
      </w:r>
    </w:p>
    <w:p w14:paraId="35726D8A" w14:textId="77777777" w:rsidR="00B06EAD" w:rsidRDefault="00D20EBD">
      <w:pPr>
        <w:spacing w:before="120" w:after="0" w:line="288" w:lineRule="auto"/>
        <w:ind w:right="-2" w:firstLine="567"/>
        <w:jc w:val="both"/>
        <w:rPr>
          <w:rFonts w:ascii="Times New Roman" w:hAnsi="Times New Roman" w:cs="Times New Roman"/>
        </w:rPr>
      </w:pPr>
      <w:r>
        <w:rPr>
          <w:rFonts w:ascii="Times New Roman" w:hAnsi="Times New Roman" w:cs="Times New Roman"/>
          <w:b/>
          <w:bCs/>
          <w:sz w:val="24"/>
          <w:szCs w:val="24"/>
        </w:rPr>
        <w:t>Машина за предварително смесване LL-T001</w:t>
      </w:r>
    </w:p>
    <w:p w14:paraId="01E10E9E" w14:textId="77777777" w:rsidR="00B06EAD" w:rsidRDefault="00D20EBD">
      <w:pPr>
        <w:spacing w:before="120" w:after="0" w:line="288" w:lineRule="auto"/>
        <w:ind w:right="-2"/>
        <w:jc w:val="both"/>
        <w:rPr>
          <w:rFonts w:ascii="Times New Roman" w:hAnsi="Times New Roman" w:cs="Times New Roman"/>
          <w:bCs/>
          <w:sz w:val="24"/>
          <w:szCs w:val="24"/>
        </w:rPr>
      </w:pPr>
      <w:r>
        <w:rPr>
          <w:rFonts w:ascii="Times New Roman" w:hAnsi="Times New Roman" w:cs="Times New Roman"/>
          <w:bCs/>
          <w:sz w:val="24"/>
          <w:szCs w:val="24"/>
        </w:rPr>
        <w:t xml:space="preserve">Машината представлява цилиндричен съд с обем от 2 куб.м. разположен вертикално. Горната част на цилиндъра е отворена с цел по лесно зареждане на материалите. На дъното е снабдена с </w:t>
      </w:r>
      <w:proofErr w:type="spellStart"/>
      <w:r>
        <w:rPr>
          <w:rFonts w:ascii="Times New Roman" w:hAnsi="Times New Roman" w:cs="Times New Roman"/>
          <w:bCs/>
          <w:sz w:val="24"/>
          <w:szCs w:val="24"/>
        </w:rPr>
        <w:t>роторни</w:t>
      </w:r>
      <w:proofErr w:type="spellEnd"/>
      <w:r>
        <w:rPr>
          <w:rFonts w:ascii="Times New Roman" w:hAnsi="Times New Roman" w:cs="Times New Roman"/>
          <w:bCs/>
          <w:sz w:val="24"/>
          <w:szCs w:val="24"/>
        </w:rPr>
        <w:t xml:space="preserve"> бъркачки. Ротора работи посредством електромотор с мощност от 20 </w:t>
      </w:r>
      <w:proofErr w:type="spellStart"/>
      <w:r>
        <w:rPr>
          <w:rFonts w:ascii="Times New Roman" w:hAnsi="Times New Roman" w:cs="Times New Roman"/>
          <w:bCs/>
          <w:sz w:val="24"/>
          <w:szCs w:val="24"/>
        </w:rPr>
        <w:t>кВт</w:t>
      </w:r>
      <w:proofErr w:type="spellEnd"/>
      <w:r>
        <w:rPr>
          <w:rFonts w:ascii="Times New Roman" w:hAnsi="Times New Roman" w:cs="Times New Roman"/>
          <w:bCs/>
          <w:sz w:val="24"/>
          <w:szCs w:val="24"/>
        </w:rPr>
        <w:t>. Капацитета на инсталацията е 200-300 кг на час готов полуфабрикат за последващо регенериране на съдържащите се в получения полуфабрикат разтворители.</w:t>
      </w:r>
    </w:p>
    <w:p w14:paraId="31FA81D1" w14:textId="77777777" w:rsidR="00B06EAD" w:rsidRDefault="00D20EBD">
      <w:pPr>
        <w:spacing w:before="120" w:after="0" w:line="288" w:lineRule="auto"/>
        <w:ind w:right="-2" w:firstLine="567"/>
        <w:jc w:val="both"/>
        <w:rPr>
          <w:rFonts w:ascii="Times New Roman" w:hAnsi="Times New Roman" w:cs="Times New Roman"/>
          <w:sz w:val="24"/>
          <w:szCs w:val="24"/>
        </w:rPr>
      </w:pPr>
      <w:r>
        <w:rPr>
          <w:rFonts w:ascii="Times New Roman" w:hAnsi="Times New Roman" w:cs="Times New Roman"/>
          <w:b/>
          <w:bCs/>
          <w:sz w:val="24"/>
          <w:szCs w:val="24"/>
        </w:rPr>
        <w:t>Дестилатор за регенериране на отработени разтворители – LL-R1100</w:t>
      </w:r>
    </w:p>
    <w:p w14:paraId="7252EE2A" w14:textId="77777777" w:rsidR="00B06EAD" w:rsidRDefault="00D20EBD">
      <w:pPr>
        <w:spacing w:before="120" w:after="0" w:line="288" w:lineRule="auto"/>
        <w:ind w:right="-2"/>
        <w:jc w:val="both"/>
        <w:rPr>
          <w:rFonts w:ascii="Times New Roman" w:hAnsi="Times New Roman" w:cs="Times New Roman"/>
          <w:sz w:val="24"/>
          <w:szCs w:val="24"/>
        </w:rPr>
      </w:pPr>
      <w:r>
        <w:rPr>
          <w:rFonts w:ascii="Times New Roman" w:hAnsi="Times New Roman" w:cs="Times New Roman"/>
          <w:sz w:val="24"/>
          <w:szCs w:val="24"/>
        </w:rPr>
        <w:lastRenderedPageBreak/>
        <w:t xml:space="preserve">Дестилатор със загряваща маслена риза - представлява цилиндричен съд с двойни стени с обем – 1100 л. разположен вертикално. В пространството между двойните стени е маслената риза. Маслото се загрява в отделна </w:t>
      </w:r>
      <w:proofErr w:type="spellStart"/>
      <w:r>
        <w:rPr>
          <w:rFonts w:ascii="Times New Roman" w:hAnsi="Times New Roman" w:cs="Times New Roman"/>
          <w:sz w:val="24"/>
          <w:szCs w:val="24"/>
        </w:rPr>
        <w:t>маслонагревна</w:t>
      </w:r>
      <w:proofErr w:type="spellEnd"/>
      <w:r>
        <w:rPr>
          <w:rFonts w:ascii="Times New Roman" w:hAnsi="Times New Roman" w:cs="Times New Roman"/>
          <w:sz w:val="24"/>
          <w:szCs w:val="24"/>
        </w:rPr>
        <w:t xml:space="preserve"> с мощност от 25кВт. Максималната температура на топлоносителя не надвишава 110ºС. Работната температура на топлоносителя се поддържа автоматично с регулируем термостат. Регулирането на работната температура е плавно и е в диапазон от 50 до 110ºС. В дестилатора е монтиран </w:t>
      </w:r>
      <w:proofErr w:type="spellStart"/>
      <w:r>
        <w:rPr>
          <w:rFonts w:ascii="Times New Roman" w:hAnsi="Times New Roman" w:cs="Times New Roman"/>
          <w:sz w:val="24"/>
          <w:szCs w:val="24"/>
        </w:rPr>
        <w:t>нивомер</w:t>
      </w:r>
      <w:proofErr w:type="spellEnd"/>
      <w:r>
        <w:rPr>
          <w:rFonts w:ascii="Times New Roman" w:hAnsi="Times New Roman" w:cs="Times New Roman"/>
          <w:sz w:val="24"/>
          <w:szCs w:val="24"/>
        </w:rPr>
        <w:t xml:space="preserve">, чрез който не се допуска да бъде заредено количество отпадък за рециклиране по-голямо от 1000 л. Капакът на дестилатора се затваря херметично, с помощта на два болта с </w:t>
      </w:r>
      <w:proofErr w:type="spellStart"/>
      <w:r>
        <w:rPr>
          <w:rFonts w:ascii="Times New Roman" w:hAnsi="Times New Roman" w:cs="Times New Roman"/>
          <w:sz w:val="24"/>
          <w:szCs w:val="24"/>
        </w:rPr>
        <w:t>перчати</w:t>
      </w:r>
      <w:proofErr w:type="spellEnd"/>
      <w:r>
        <w:rPr>
          <w:rFonts w:ascii="Times New Roman" w:hAnsi="Times New Roman" w:cs="Times New Roman"/>
          <w:sz w:val="24"/>
          <w:szCs w:val="24"/>
        </w:rPr>
        <w:t xml:space="preserve"> гайки. Той осигурява достъп до вътрешността на дестилатора, за да се извлича сухия остатък. Парната тръба свързва дестилатора със съда за охлаждане. Охладителя представлява също цилиндричен съд разположен вертикално. Във вътрешното пространство е разположена серпентина, в която циркулира охлаждаща вода. Охлаждащата вода се ползва водооборотно, като в системата са предвидени водоохладителни резервоари. Работния капацитет на инсталацията е 120 л/час готов продукт. Регенерираният продукт – дестилата, се събира в съд с обем от 100 л. и чрез помощта на пневматична помпа се прехвърля в съд тип IBC с обем от 1 куб. м.</w:t>
      </w:r>
    </w:p>
    <w:p w14:paraId="7287BDC9" w14:textId="77777777" w:rsidR="00B06EAD" w:rsidRDefault="00D20EBD">
      <w:pPr>
        <w:rPr>
          <w:rFonts w:ascii="Times New Roman" w:hAnsi="Times New Roman" w:cs="Times New Roman"/>
          <w:b/>
          <w:bCs/>
          <w:sz w:val="24"/>
          <w:szCs w:val="24"/>
        </w:rPr>
      </w:pPr>
      <w:r>
        <w:br w:type="page"/>
      </w:r>
    </w:p>
    <w:p w14:paraId="5C88C406" w14:textId="77777777" w:rsidR="00B06EAD" w:rsidRDefault="00D20EBD">
      <w:pPr>
        <w:spacing w:before="120" w:after="0" w:line="288" w:lineRule="auto"/>
        <w:ind w:right="-2" w:firstLine="567"/>
        <w:rPr>
          <w:rFonts w:ascii="Times New Roman" w:hAnsi="Times New Roman" w:cs="Times New Roman"/>
          <w:sz w:val="24"/>
          <w:szCs w:val="24"/>
        </w:rPr>
      </w:pPr>
      <w:r>
        <w:rPr>
          <w:rFonts w:ascii="Times New Roman" w:hAnsi="Times New Roman" w:cs="Times New Roman"/>
          <w:b/>
          <w:bCs/>
          <w:sz w:val="24"/>
          <w:szCs w:val="24"/>
        </w:rPr>
        <w:lastRenderedPageBreak/>
        <w:t>Принципна схема на дестилатори, LL-R1100, LL-R400 и DW-100:</w:t>
      </w:r>
    </w:p>
    <w:p w14:paraId="05D50BB3" w14:textId="77777777" w:rsidR="00B06EAD" w:rsidRDefault="00D20EBD">
      <w:pPr>
        <w:spacing w:before="120" w:after="0" w:line="288" w:lineRule="auto"/>
        <w:ind w:right="-2" w:firstLine="567"/>
        <w:jc w:val="both"/>
        <w:rPr>
          <w:rFonts w:ascii="Times New Roman" w:hAnsi="Times New Roman" w:cs="Times New Roman"/>
          <w:sz w:val="24"/>
          <w:szCs w:val="24"/>
        </w:rPr>
      </w:pPr>
      <w:r>
        <w:rPr>
          <w:noProof/>
          <w:lang w:eastAsia="bg-BG"/>
        </w:rPr>
        <w:drawing>
          <wp:inline distT="0" distB="0" distL="0" distR="0" wp14:anchorId="07758BBF" wp14:editId="437EC2BA">
            <wp:extent cx="2011680" cy="2733675"/>
            <wp:effectExtent l="0" t="0" r="0" b="0"/>
            <wp:docPr id="1" name="Картина 2" descr="DW100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2" descr="DW100n.bmp"/>
                    <pic:cNvPicPr>
                      <a:picLocks noChangeAspect="1" noChangeArrowheads="1"/>
                    </pic:cNvPicPr>
                  </pic:nvPicPr>
                  <pic:blipFill>
                    <a:blip r:embed="rId6"/>
                    <a:srcRect t="13201" b="2465"/>
                    <a:stretch>
                      <a:fillRect/>
                    </a:stretch>
                  </pic:blipFill>
                  <pic:spPr bwMode="auto">
                    <a:xfrm>
                      <a:off x="0" y="0"/>
                      <a:ext cx="2011680" cy="2733675"/>
                    </a:xfrm>
                    <a:prstGeom prst="rect">
                      <a:avLst/>
                    </a:prstGeom>
                  </pic:spPr>
                </pic:pic>
              </a:graphicData>
            </a:graphic>
          </wp:inline>
        </w:drawing>
      </w:r>
    </w:p>
    <w:p w14:paraId="592E8C9F" w14:textId="77777777" w:rsidR="00B06EAD" w:rsidRDefault="00D20EBD">
      <w:pPr>
        <w:pStyle w:val="Style"/>
        <w:spacing w:before="120" w:line="288" w:lineRule="auto"/>
        <w:ind w:left="0" w:right="-2" w:firstLine="567"/>
        <w:rPr>
          <w:rFonts w:ascii="Times New Roman" w:hAnsi="Times New Roman" w:cs="Times New Roman"/>
        </w:rPr>
      </w:pPr>
      <w:r>
        <w:rPr>
          <w:rFonts w:ascii="Times New Roman" w:hAnsi="Times New Roman" w:cs="Times New Roman"/>
          <w:b/>
          <w:bCs/>
        </w:rPr>
        <w:t>Дестилатор за регенериране на отработени разтворители – LL-R400</w:t>
      </w:r>
    </w:p>
    <w:p w14:paraId="69D58B3F" w14:textId="77777777" w:rsidR="00B06EAD" w:rsidRDefault="00D20EBD">
      <w:pPr>
        <w:spacing w:before="120" w:after="0" w:line="288" w:lineRule="auto"/>
        <w:ind w:right="-2"/>
        <w:jc w:val="both"/>
        <w:rPr>
          <w:rFonts w:ascii="Times New Roman" w:hAnsi="Times New Roman" w:cs="Times New Roman"/>
          <w:sz w:val="24"/>
          <w:szCs w:val="24"/>
        </w:rPr>
      </w:pPr>
      <w:r>
        <w:rPr>
          <w:rFonts w:ascii="Times New Roman" w:hAnsi="Times New Roman" w:cs="Times New Roman"/>
          <w:sz w:val="24"/>
          <w:szCs w:val="24"/>
        </w:rPr>
        <w:t xml:space="preserve">Вакуум дестилатор със загряваща маслена риза – представлява кубичен съд с двойни стени с обем - 400 л., разположен вертикално. В пространството между двойните стени е маслената риза. Маслото се загрява в отделна </w:t>
      </w:r>
      <w:proofErr w:type="spellStart"/>
      <w:r>
        <w:rPr>
          <w:rFonts w:ascii="Times New Roman" w:hAnsi="Times New Roman" w:cs="Times New Roman"/>
          <w:sz w:val="24"/>
          <w:szCs w:val="24"/>
        </w:rPr>
        <w:t>маслонагревна</w:t>
      </w:r>
      <w:proofErr w:type="spellEnd"/>
      <w:r>
        <w:rPr>
          <w:rFonts w:ascii="Times New Roman" w:hAnsi="Times New Roman" w:cs="Times New Roman"/>
          <w:sz w:val="24"/>
          <w:szCs w:val="24"/>
        </w:rPr>
        <w:t xml:space="preserve"> с мощност от 25кВт. Максималната температура на топлоносителя не надвишава 110ºС. Работната температура на топлоносителя се поддържа автоматично с регулируем термостат. Регулирането на работната температура е плавно и е в диапазон от 50 до 110ºС. В дестилатора е монтиран </w:t>
      </w:r>
      <w:proofErr w:type="spellStart"/>
      <w:r>
        <w:rPr>
          <w:rFonts w:ascii="Times New Roman" w:hAnsi="Times New Roman" w:cs="Times New Roman"/>
          <w:sz w:val="24"/>
          <w:szCs w:val="24"/>
        </w:rPr>
        <w:t>нивомер</w:t>
      </w:r>
      <w:proofErr w:type="spellEnd"/>
      <w:r>
        <w:rPr>
          <w:rFonts w:ascii="Times New Roman" w:hAnsi="Times New Roman" w:cs="Times New Roman"/>
          <w:sz w:val="24"/>
          <w:szCs w:val="24"/>
        </w:rPr>
        <w:t xml:space="preserve">, чрез който не се допуска да бъде заредено количество отпадък за рециклиране по-голямо от 400 л. Капакът на дестилатора се затваря херметично, с помощта на два болта с </w:t>
      </w:r>
      <w:proofErr w:type="spellStart"/>
      <w:r>
        <w:rPr>
          <w:rFonts w:ascii="Times New Roman" w:hAnsi="Times New Roman" w:cs="Times New Roman"/>
          <w:sz w:val="24"/>
          <w:szCs w:val="24"/>
        </w:rPr>
        <w:t>перчати</w:t>
      </w:r>
      <w:proofErr w:type="spellEnd"/>
      <w:r>
        <w:rPr>
          <w:rFonts w:ascii="Times New Roman" w:hAnsi="Times New Roman" w:cs="Times New Roman"/>
          <w:sz w:val="24"/>
          <w:szCs w:val="24"/>
        </w:rPr>
        <w:t xml:space="preserve"> гайки. Той осигурява достъп до вътрешността на дестилатора, за да се извлича сухия остатък. Парната тръба свързва дестилатора с кондензатора. Кондензаторът представлява също цилиндричен съд, разположен хоризонтално. Инсталацията е съоръжена с вакуум помпа, която спомага за по-ефективно осъществяване на процеса на дестилация. Работния капацитет на инсталацията е 50 л/час готов продукт. Дестилата се събира в кубичен съд с обем от 500 л., снабден с кран за източване на продукта. Инсталацията се охлажда посредством циркулираща вода.</w:t>
      </w:r>
    </w:p>
    <w:p w14:paraId="404BE7C6" w14:textId="77777777" w:rsidR="00B06EAD" w:rsidRDefault="00D20EBD">
      <w:pPr>
        <w:spacing w:before="120" w:after="0" w:line="288" w:lineRule="auto"/>
        <w:ind w:right="-2" w:firstLine="567"/>
        <w:jc w:val="both"/>
        <w:rPr>
          <w:rFonts w:ascii="Times New Roman" w:hAnsi="Times New Roman" w:cs="Times New Roman"/>
          <w:sz w:val="24"/>
          <w:szCs w:val="24"/>
        </w:rPr>
      </w:pPr>
      <w:r>
        <w:rPr>
          <w:rFonts w:ascii="Times New Roman" w:hAnsi="Times New Roman" w:cs="Times New Roman"/>
          <w:b/>
          <w:bCs/>
          <w:sz w:val="24"/>
          <w:szCs w:val="24"/>
        </w:rPr>
        <w:t>Дестилатор за регенериране на отработени разтворители DW-100</w:t>
      </w:r>
    </w:p>
    <w:p w14:paraId="3B076262" w14:textId="77777777" w:rsidR="00B06EAD" w:rsidRDefault="00D20EBD">
      <w:pPr>
        <w:spacing w:before="120" w:after="0" w:line="288" w:lineRule="auto"/>
        <w:ind w:right="-2"/>
        <w:jc w:val="both"/>
        <w:rPr>
          <w:rFonts w:ascii="Times New Roman" w:hAnsi="Times New Roman" w:cs="Times New Roman"/>
          <w:sz w:val="24"/>
          <w:szCs w:val="24"/>
        </w:rPr>
      </w:pPr>
      <w:r>
        <w:rPr>
          <w:rFonts w:ascii="Times New Roman" w:hAnsi="Times New Roman" w:cs="Times New Roman"/>
          <w:sz w:val="24"/>
          <w:szCs w:val="24"/>
        </w:rPr>
        <w:t xml:space="preserve">Дестилатор със загряваща маслена риза - представлява цилиндричен съд с двойни стени с обем 200 лит. разположен хоризонтално. В пространството между двойните стени - мислената риза и дестилатора са разположени електро нагреватели, които предават топлина посредством високо температурен маслен топлоносител. Максималната температура на топлоносителя не надвишава 200ºС. Работната температура на топлоносителя се поддържа автоматично с регулируем термостат. Регулирането на работната температура е плавно и е в диапазон от 50 до  200ºС. В дестилатора са монтирани </w:t>
      </w:r>
      <w:proofErr w:type="spellStart"/>
      <w:r>
        <w:rPr>
          <w:rFonts w:ascii="Times New Roman" w:hAnsi="Times New Roman" w:cs="Times New Roman"/>
          <w:sz w:val="24"/>
          <w:szCs w:val="24"/>
        </w:rPr>
        <w:t>нивомери</w:t>
      </w:r>
      <w:proofErr w:type="spellEnd"/>
      <w:r>
        <w:rPr>
          <w:rFonts w:ascii="Times New Roman" w:hAnsi="Times New Roman" w:cs="Times New Roman"/>
          <w:sz w:val="24"/>
          <w:szCs w:val="24"/>
        </w:rPr>
        <w:t xml:space="preserve">, чрез които не се допуска да бъде заредено количество отпадък за рециклиране по-голямо от предвидения от производителя обем. Капакът на дестилатора осигурява достъп до вътрешността на дестилатора за да се извлича сухия остатък. Той се </w:t>
      </w:r>
      <w:r>
        <w:rPr>
          <w:rFonts w:ascii="Times New Roman" w:hAnsi="Times New Roman" w:cs="Times New Roman"/>
          <w:sz w:val="24"/>
          <w:szCs w:val="24"/>
        </w:rPr>
        <w:lastRenderedPageBreak/>
        <w:t xml:space="preserve">затваря херметично. Парната тръба свързва дестилатора с кондензатора. В най високата и част е монтиран термометър, чрез който се контролира процесът на дестилация. Кондензаторът-топлообменник представлява </w:t>
      </w:r>
      <w:proofErr w:type="spellStart"/>
      <w:r>
        <w:rPr>
          <w:rFonts w:ascii="Times New Roman" w:hAnsi="Times New Roman" w:cs="Times New Roman"/>
          <w:sz w:val="24"/>
          <w:szCs w:val="24"/>
        </w:rPr>
        <w:t>кожухотръбен</w:t>
      </w:r>
      <w:proofErr w:type="spellEnd"/>
      <w:r>
        <w:rPr>
          <w:rFonts w:ascii="Times New Roman" w:hAnsi="Times New Roman" w:cs="Times New Roman"/>
          <w:sz w:val="24"/>
          <w:szCs w:val="24"/>
        </w:rPr>
        <w:t xml:space="preserve"> топлообменник. Разположен е хоризонтално, като в междутръбното пространство се кондензира дестилата-разтворител, в тръбното пространство циркулира охлаждаща вода. Приемният  съд служи за събиране на дестилата-разтворител и е свързан с кондензатор-</w:t>
      </w:r>
      <w:proofErr w:type="spellStart"/>
      <w:r>
        <w:rPr>
          <w:rFonts w:ascii="Times New Roman" w:hAnsi="Times New Roman" w:cs="Times New Roman"/>
          <w:sz w:val="24"/>
          <w:szCs w:val="24"/>
        </w:rPr>
        <w:t>топлообменика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Нивомерно</w:t>
      </w:r>
      <w:proofErr w:type="spellEnd"/>
      <w:r>
        <w:rPr>
          <w:rFonts w:ascii="Times New Roman" w:hAnsi="Times New Roman" w:cs="Times New Roman"/>
          <w:sz w:val="24"/>
          <w:szCs w:val="24"/>
        </w:rPr>
        <w:t xml:space="preserve"> стъкло служи за контрол на количеството получен дестилат. Отпадъкът се загрява около 1 час. При температура 65ºС в дестилатора започва отделяне на най-</w:t>
      </w:r>
      <w:proofErr w:type="spellStart"/>
      <w:r>
        <w:rPr>
          <w:rFonts w:ascii="Times New Roman" w:hAnsi="Times New Roman" w:cs="Times New Roman"/>
          <w:sz w:val="24"/>
          <w:szCs w:val="24"/>
        </w:rPr>
        <w:t>низкокипящия</w:t>
      </w:r>
      <w:proofErr w:type="spellEnd"/>
      <w:r>
        <w:rPr>
          <w:rFonts w:ascii="Times New Roman" w:hAnsi="Times New Roman" w:cs="Times New Roman"/>
          <w:sz w:val="24"/>
          <w:szCs w:val="24"/>
        </w:rPr>
        <w:t xml:space="preserve"> компонент на разтворителя, температурата на парите е 60ºС, парите се кондензират в кондензатор топлообменник, събират се в приемен съд с мерно стъкло. Дестилацията продължава поетапно с увеличение на т-рата до отделянето съдържащите се разтворители. Загряването на дестилатора се изключва. При охлаждане на дестилатора до 45ºС се демонтира капака на дестилатора и сухия остатък може да бъде извлечен в отворен отгоре стоманен съд. </w:t>
      </w:r>
    </w:p>
    <w:p w14:paraId="25562012" w14:textId="77777777" w:rsidR="00B06EAD" w:rsidRDefault="00D20EBD">
      <w:pPr>
        <w:spacing w:before="120" w:after="0" w:line="288" w:lineRule="auto"/>
        <w:ind w:firstLine="567"/>
        <w:jc w:val="both"/>
        <w:rPr>
          <w:rFonts w:ascii="Times New Roman" w:hAnsi="Times New Roman" w:cs="Times New Roman"/>
          <w:sz w:val="24"/>
          <w:szCs w:val="24"/>
        </w:rPr>
      </w:pPr>
      <w:r>
        <w:rPr>
          <w:rFonts w:ascii="Times New Roman" w:hAnsi="Times New Roman" w:cs="Times New Roman"/>
          <w:b/>
          <w:bCs/>
          <w:sz w:val="24"/>
          <w:szCs w:val="24"/>
        </w:rPr>
        <w:t>Вакуум дестилатор за регенериране на разтворители – Roto9</w:t>
      </w:r>
    </w:p>
    <w:p w14:paraId="74191D8A"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Представлява цилиндричен вакуум дестилиращ съд от неръждаема стомана с </w:t>
      </w:r>
      <w:proofErr w:type="spellStart"/>
      <w:r>
        <w:rPr>
          <w:rFonts w:ascii="Times New Roman" w:hAnsi="Times New Roman" w:cs="Times New Roman"/>
          <w:sz w:val="24"/>
          <w:szCs w:val="24"/>
        </w:rPr>
        <w:t>капицитет</w:t>
      </w:r>
      <w:proofErr w:type="spellEnd"/>
      <w:r>
        <w:rPr>
          <w:rFonts w:ascii="Times New Roman" w:hAnsi="Times New Roman" w:cs="Times New Roman"/>
          <w:sz w:val="24"/>
          <w:szCs w:val="24"/>
        </w:rPr>
        <w:t xml:space="preserve"> на запълване от 140 л. Вградени са електрически нагревателни елементи с мощност от 9 </w:t>
      </w:r>
      <w:proofErr w:type="spellStart"/>
      <w:r>
        <w:rPr>
          <w:rFonts w:ascii="Times New Roman" w:hAnsi="Times New Roman" w:cs="Times New Roman"/>
          <w:sz w:val="24"/>
          <w:szCs w:val="24"/>
        </w:rPr>
        <w:t>кВч</w:t>
      </w:r>
      <w:proofErr w:type="spellEnd"/>
      <w:r>
        <w:rPr>
          <w:rFonts w:ascii="Times New Roman" w:hAnsi="Times New Roman" w:cs="Times New Roman"/>
          <w:sz w:val="24"/>
          <w:szCs w:val="24"/>
        </w:rPr>
        <w:t xml:space="preserve">, които нагряват термично масло до максимум 130°C, като маслото е разположено в двойна стена /кожух/ на цилиндричния съд. В цилиндричния съд е разположена въртяща система /ротор/, който предотвратява натрупвания върху нагревателните повърхности и разбърква материала, който се дестилира. Снабдено е и с мерно стъкло и </w:t>
      </w:r>
      <w:proofErr w:type="spellStart"/>
      <w:r>
        <w:rPr>
          <w:rFonts w:ascii="Times New Roman" w:hAnsi="Times New Roman" w:cs="Times New Roman"/>
          <w:sz w:val="24"/>
          <w:szCs w:val="24"/>
        </w:rPr>
        <w:t>взривозащитена</w:t>
      </w:r>
      <w:proofErr w:type="spellEnd"/>
      <w:r>
        <w:rPr>
          <w:rFonts w:ascii="Times New Roman" w:hAnsi="Times New Roman" w:cs="Times New Roman"/>
          <w:sz w:val="24"/>
          <w:szCs w:val="24"/>
        </w:rPr>
        <w:t xml:space="preserve"> лампа за наблюдение на процеса. Капацитета на инсталацията е 50-60 л/час зависимост от вида на материала. Инсталацията съдържа и кондензатор с водно охлаждане и допълнителен съд за съхранение на готовия чист дестилат. Снабдена е с контролен шкаф с програмируем логически контрол (PLC) с текстов дисплей, въвеждане и/или показване на хронология и отделни часове на функциите вакуум, пълнене, </w:t>
      </w:r>
      <w:proofErr w:type="spellStart"/>
      <w:r>
        <w:rPr>
          <w:rFonts w:ascii="Times New Roman" w:hAnsi="Times New Roman" w:cs="Times New Roman"/>
          <w:sz w:val="24"/>
          <w:szCs w:val="24"/>
        </w:rPr>
        <w:t>заграяване</w:t>
      </w:r>
      <w:proofErr w:type="spellEnd"/>
      <w:r>
        <w:rPr>
          <w:rFonts w:ascii="Times New Roman" w:hAnsi="Times New Roman" w:cs="Times New Roman"/>
          <w:sz w:val="24"/>
          <w:szCs w:val="24"/>
        </w:rPr>
        <w:t>, управление на ротора и дестилация.</w:t>
      </w:r>
    </w:p>
    <w:p w14:paraId="028F3085" w14:textId="77777777" w:rsidR="00B06EAD" w:rsidRDefault="00D20EBD">
      <w:pPr>
        <w:spacing w:before="120" w:after="0" w:line="288" w:lineRule="auto"/>
        <w:ind w:right="-2" w:firstLine="567"/>
        <w:jc w:val="both"/>
        <w:rPr>
          <w:rFonts w:ascii="Times New Roman" w:hAnsi="Times New Roman" w:cs="Times New Roman"/>
          <w:sz w:val="24"/>
          <w:szCs w:val="24"/>
        </w:rPr>
      </w:pPr>
      <w:r>
        <w:rPr>
          <w:noProof/>
          <w:lang w:eastAsia="bg-BG"/>
        </w:rPr>
        <w:drawing>
          <wp:inline distT="0" distB="0" distL="0" distR="0" wp14:anchorId="71013714" wp14:editId="56AAEE7A">
            <wp:extent cx="2849245" cy="3166745"/>
            <wp:effectExtent l="0" t="0" r="0" b="0"/>
            <wp:docPr id="2" name="Картина 0" descr="R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0" descr="Roto 9.jpg"/>
                    <pic:cNvPicPr>
                      <a:picLocks noChangeAspect="1" noChangeArrowheads="1"/>
                    </pic:cNvPicPr>
                  </pic:nvPicPr>
                  <pic:blipFill>
                    <a:blip r:embed="rId7"/>
                    <a:stretch>
                      <a:fillRect/>
                    </a:stretch>
                  </pic:blipFill>
                  <pic:spPr bwMode="auto">
                    <a:xfrm>
                      <a:off x="0" y="0"/>
                      <a:ext cx="2849245" cy="3166745"/>
                    </a:xfrm>
                    <a:prstGeom prst="rect">
                      <a:avLst/>
                    </a:prstGeom>
                  </pic:spPr>
                </pic:pic>
              </a:graphicData>
            </a:graphic>
          </wp:inline>
        </w:drawing>
      </w:r>
    </w:p>
    <w:p w14:paraId="4A451BAF" w14:textId="77777777" w:rsidR="00B06EAD" w:rsidRDefault="00D20EBD">
      <w:pPr>
        <w:spacing w:before="120" w:after="0" w:line="288" w:lineRule="auto"/>
        <w:ind w:firstLine="56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Вакуум дестилатор за регенериране на отработени разтворители </w:t>
      </w:r>
      <w:proofErr w:type="spellStart"/>
      <w:r>
        <w:rPr>
          <w:rFonts w:ascii="Times New Roman" w:hAnsi="Times New Roman" w:cs="Times New Roman"/>
          <w:b/>
          <w:bCs/>
          <w:sz w:val="24"/>
          <w:szCs w:val="24"/>
        </w:rPr>
        <w:t>Rotomax</w:t>
      </w:r>
      <w:proofErr w:type="spellEnd"/>
      <w:r>
        <w:rPr>
          <w:rFonts w:ascii="Times New Roman" w:hAnsi="Times New Roman" w:cs="Times New Roman"/>
          <w:b/>
          <w:bCs/>
          <w:sz w:val="24"/>
          <w:szCs w:val="24"/>
        </w:rPr>
        <w:t xml:space="preserve"> 30</w:t>
      </w:r>
    </w:p>
    <w:p w14:paraId="5843D959"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Представлява цилиндричен, вакуумно плътен дестилационен котел, състоящ се от изолиран съд (неръждаема стомана) с под за отопление. Подът </w:t>
      </w:r>
      <w:proofErr w:type="spellStart"/>
      <w:r>
        <w:rPr>
          <w:rFonts w:ascii="Times New Roman" w:hAnsi="Times New Roman" w:cs="Times New Roman"/>
          <w:sz w:val="24"/>
          <w:szCs w:val="24"/>
        </w:rPr>
        <w:t>заотопление</w:t>
      </w:r>
      <w:proofErr w:type="spellEnd"/>
      <w:r>
        <w:rPr>
          <w:rFonts w:ascii="Times New Roman" w:hAnsi="Times New Roman" w:cs="Times New Roman"/>
          <w:sz w:val="24"/>
          <w:szCs w:val="24"/>
        </w:rPr>
        <w:t xml:space="preserve"> е изолиран, плосък, предназначен за отопление за отопление с пара (10 бара, 185°C </w:t>
      </w:r>
      <w:proofErr w:type="spellStart"/>
      <w:r>
        <w:rPr>
          <w:rFonts w:ascii="Times New Roman" w:hAnsi="Times New Roman" w:cs="Times New Roman"/>
          <w:sz w:val="24"/>
          <w:szCs w:val="24"/>
        </w:rPr>
        <w:t>макс</w:t>
      </w:r>
      <w:proofErr w:type="spellEnd"/>
      <w:r>
        <w:rPr>
          <w:rFonts w:ascii="Times New Roman" w:hAnsi="Times New Roman" w:cs="Times New Roman"/>
          <w:sz w:val="24"/>
          <w:szCs w:val="24"/>
        </w:rPr>
        <w:t>.), Състои се от двустенна плоча. Това гарантира отличен топлообмен и пълна отоплителна мощност независимо от нивото на разтворителя в съда.</w:t>
      </w:r>
    </w:p>
    <w:p w14:paraId="3DF614D5" w14:textId="77777777" w:rsidR="00B06EAD" w:rsidRDefault="00D20EBD">
      <w:pPr>
        <w:spacing w:before="120" w:after="0" w:line="288" w:lineRule="auto"/>
        <w:jc w:val="both"/>
        <w:rPr>
          <w:rFonts w:ascii="Times New Roman" w:hAnsi="Times New Roman" w:cs="Times New Roman"/>
          <w:sz w:val="24"/>
          <w:szCs w:val="24"/>
        </w:rPr>
      </w:pPr>
      <w:proofErr w:type="spellStart"/>
      <w:r>
        <w:rPr>
          <w:rFonts w:ascii="Times New Roman" w:hAnsi="Times New Roman" w:cs="Times New Roman"/>
          <w:sz w:val="24"/>
          <w:szCs w:val="24"/>
        </w:rPr>
        <w:t>Парогенераторът</w:t>
      </w:r>
      <w:proofErr w:type="spellEnd"/>
      <w:r>
        <w:rPr>
          <w:rFonts w:ascii="Times New Roman" w:hAnsi="Times New Roman" w:cs="Times New Roman"/>
          <w:sz w:val="24"/>
          <w:szCs w:val="24"/>
        </w:rPr>
        <w:t xml:space="preserve"> е работещ с електрическа енергия, или с пара, или с </w:t>
      </w:r>
      <w:proofErr w:type="spellStart"/>
      <w:r>
        <w:rPr>
          <w:rFonts w:ascii="Times New Roman" w:hAnsi="Times New Roman" w:cs="Times New Roman"/>
          <w:sz w:val="24"/>
          <w:szCs w:val="24"/>
        </w:rPr>
        <w:t>топлопредаващо</w:t>
      </w:r>
      <w:proofErr w:type="spellEnd"/>
      <w:r>
        <w:rPr>
          <w:rFonts w:ascii="Times New Roman" w:hAnsi="Times New Roman" w:cs="Times New Roman"/>
          <w:sz w:val="24"/>
          <w:szCs w:val="24"/>
        </w:rPr>
        <w:t xml:space="preserve"> масло от мрежа на място. Директното нагряване с пара или топла вода е също възможно.</w:t>
      </w:r>
    </w:p>
    <w:p w14:paraId="2489FFA1"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Кондензатора е с водно охлаждане, материал - неръждаема стомана.</w:t>
      </w:r>
    </w:p>
    <w:p w14:paraId="5D208B91"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Въртяща се </w:t>
      </w:r>
      <w:proofErr w:type="spellStart"/>
      <w:r>
        <w:rPr>
          <w:rFonts w:ascii="Times New Roman" w:hAnsi="Times New Roman" w:cs="Times New Roman"/>
          <w:sz w:val="24"/>
          <w:szCs w:val="24"/>
        </w:rPr>
        <w:t>скреперна</w:t>
      </w:r>
      <w:proofErr w:type="spellEnd"/>
      <w:r>
        <w:rPr>
          <w:rFonts w:ascii="Times New Roman" w:hAnsi="Times New Roman" w:cs="Times New Roman"/>
          <w:sz w:val="24"/>
          <w:szCs w:val="24"/>
        </w:rPr>
        <w:t xml:space="preserve"> система (ротор) предотвратява натрупването на отлагания, разклаща и разбърква материала, който трябва да се дестилира. Устройството е снабдено със стълби отстрани и платформа за наблюдение. Прозрачно стъкло и </w:t>
      </w:r>
      <w:proofErr w:type="spellStart"/>
      <w:r>
        <w:rPr>
          <w:rFonts w:ascii="Times New Roman" w:hAnsi="Times New Roman" w:cs="Times New Roman"/>
          <w:sz w:val="24"/>
          <w:szCs w:val="24"/>
        </w:rPr>
        <w:t>взривозащитена</w:t>
      </w:r>
      <w:proofErr w:type="spellEnd"/>
      <w:r>
        <w:rPr>
          <w:rFonts w:ascii="Times New Roman" w:hAnsi="Times New Roman" w:cs="Times New Roman"/>
          <w:sz w:val="24"/>
          <w:szCs w:val="24"/>
        </w:rPr>
        <w:t xml:space="preserve"> халогенна лампа позволяват оператори да наблюдават процеса на дестилация.</w:t>
      </w:r>
    </w:p>
    <w:p w14:paraId="44972FD6"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Височината на изпускане е адаптирана към контейнера за прием на пречистения разтворител – 200 литров варел (на палет).</w:t>
      </w:r>
    </w:p>
    <w:p w14:paraId="77130FBD"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Има система за автоматично спиране на пълненето, когато предварително избраното количество е достигнато; процесът се наблюдава от товарните клетки, които регистрират общо тегло на дестилационния котел; пълненето се спира от пневматично контролиран сферичен кран в линията за пълнене. Капацитета на инсталацията е 50-60 л/час зависимост от вида на материала.</w:t>
      </w:r>
    </w:p>
    <w:p w14:paraId="314FAE30" w14:textId="77777777" w:rsidR="00B06EAD" w:rsidRDefault="00D20EBD">
      <w:pPr>
        <w:tabs>
          <w:tab w:val="left" w:pos="9781"/>
        </w:tabs>
        <w:spacing w:before="120" w:after="0" w:line="288" w:lineRule="auto"/>
        <w:ind w:right="340" w:firstLine="567"/>
        <w:jc w:val="both"/>
        <w:rPr>
          <w:rFonts w:ascii="Times New Roman" w:hAnsi="Times New Roman" w:cs="Times New Roman"/>
          <w:sz w:val="24"/>
          <w:szCs w:val="24"/>
        </w:rPr>
      </w:pPr>
      <w:r>
        <w:rPr>
          <w:noProof/>
          <w:lang w:eastAsia="bg-BG"/>
        </w:rPr>
        <w:drawing>
          <wp:inline distT="0" distB="0" distL="0" distR="0" wp14:anchorId="768BB408" wp14:editId="68867E74">
            <wp:extent cx="3349625" cy="3571875"/>
            <wp:effectExtent l="0" t="0" r="0" b="0"/>
            <wp:docPr id="3" name="Картина 1" descr="Rotomax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1" descr="Rotomax 30.jpg"/>
                    <pic:cNvPicPr>
                      <a:picLocks noChangeAspect="1" noChangeArrowheads="1"/>
                    </pic:cNvPicPr>
                  </pic:nvPicPr>
                  <pic:blipFill>
                    <a:blip r:embed="rId8"/>
                    <a:stretch>
                      <a:fillRect/>
                    </a:stretch>
                  </pic:blipFill>
                  <pic:spPr bwMode="auto">
                    <a:xfrm>
                      <a:off x="0" y="0"/>
                      <a:ext cx="3349625" cy="3571875"/>
                    </a:xfrm>
                    <a:prstGeom prst="rect">
                      <a:avLst/>
                    </a:prstGeom>
                  </pic:spPr>
                </pic:pic>
              </a:graphicData>
            </a:graphic>
          </wp:inline>
        </w:drawing>
      </w:r>
    </w:p>
    <w:p w14:paraId="58DA29E6" w14:textId="77777777" w:rsidR="00B06EAD" w:rsidRDefault="00D20EBD">
      <w:pPr>
        <w:spacing w:before="120" w:after="0" w:line="288" w:lineRule="auto"/>
        <w:ind w:firstLine="567"/>
        <w:jc w:val="both"/>
        <w:rPr>
          <w:rFonts w:ascii="Times New Roman" w:hAnsi="Times New Roman" w:cs="Times New Roman"/>
          <w:b/>
          <w:sz w:val="24"/>
          <w:szCs w:val="24"/>
        </w:rPr>
      </w:pPr>
      <w:r>
        <w:rPr>
          <w:rFonts w:ascii="Times New Roman" w:hAnsi="Times New Roman" w:cs="Times New Roman"/>
          <w:b/>
          <w:sz w:val="24"/>
          <w:szCs w:val="24"/>
        </w:rPr>
        <w:t>Вакуум дестилатор-сушилня LL-D001</w:t>
      </w:r>
    </w:p>
    <w:p w14:paraId="44863AD1"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Инсталацията представлява цилиндричен съд с двойни стени /кожух/, разположен хоризонтално с обем от 5,1 куб.м. Дестилатора се подгрява посредством топла вода, </w:t>
      </w:r>
      <w:r>
        <w:rPr>
          <w:rFonts w:ascii="Times New Roman" w:hAnsi="Times New Roman" w:cs="Times New Roman"/>
          <w:sz w:val="24"/>
          <w:szCs w:val="24"/>
        </w:rPr>
        <w:lastRenderedPageBreak/>
        <w:t>съдържаща се в кожуха на цилиндъра. В цилиндъра са разположени 48 тави за ръчно зареждане с размери – Д928мм/Ш328мм/В30мм. В тавите се поставя материала за дестилация и изсушаване и инсталацията се затваря херметично посредством капак. Водата се загрява от съпътстваща инсталация за загряване на вода, работеща на газ. Работната температура в инсталацията може да стигне до 110°C. Работния капацитет на инсталацията е 50 кг/час на вход /отработен материал/. При работа с материали, съдържащи ЛОС, след достигане на необходимата работна температура, парите минават през кондензатор, а втечненият материал през вакуум помпа. Готовият продукт се събира в съд тип IBC с обем от 1 куб. м.</w:t>
      </w:r>
    </w:p>
    <w:p w14:paraId="6C8B2ABB"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bCs/>
          <w:sz w:val="24"/>
          <w:szCs w:val="24"/>
        </w:rPr>
        <w:t xml:space="preserve">От дестилацията и изсушаването на замърсени разтворители се образува сух остатък, който се класифицира според изискванията на </w:t>
      </w:r>
      <w:r>
        <w:rPr>
          <w:rFonts w:ascii="Times New Roman" w:hAnsi="Times New Roman" w:cs="Times New Roman"/>
          <w:sz w:val="24"/>
          <w:szCs w:val="24"/>
        </w:rPr>
        <w:t>Наредба № 2 от 23.07.2014 г. за класификация на отпадъците</w:t>
      </w:r>
      <w:r>
        <w:rPr>
          <w:rFonts w:ascii="Times New Roman" w:hAnsi="Times New Roman" w:cs="Times New Roman"/>
          <w:bCs/>
          <w:sz w:val="24"/>
          <w:szCs w:val="24"/>
        </w:rPr>
        <w:t xml:space="preserve"> като отпадък с огледални кодове 19 02 06 и 19 02 05*, в зависимост от свойствата си.</w:t>
      </w:r>
    </w:p>
    <w:p w14:paraId="31F33ABA" w14:textId="77777777" w:rsidR="00B06EAD" w:rsidRDefault="00D20EBD">
      <w:pPr>
        <w:pStyle w:val="Style"/>
        <w:suppressAutoHyphens w:val="0"/>
        <w:spacing w:before="120" w:line="288" w:lineRule="auto"/>
        <w:ind w:left="0" w:right="0" w:firstLine="567"/>
        <w:rPr>
          <w:rFonts w:ascii="Times New Roman" w:hAnsi="Times New Roman" w:cs="Times New Roman"/>
          <w:shd w:val="clear" w:color="auto" w:fill="FFFF00"/>
        </w:rPr>
      </w:pPr>
      <w:r>
        <w:rPr>
          <w:noProof/>
          <w:lang w:eastAsia="bg-BG" w:bidi="ar-SA"/>
        </w:rPr>
        <w:drawing>
          <wp:inline distT="0" distB="0" distL="0" distR="0" wp14:anchorId="0AAE298C" wp14:editId="567C8792">
            <wp:extent cx="3091180" cy="2260600"/>
            <wp:effectExtent l="0" t="0" r="0" b="0"/>
            <wp:docPr id="4" name="Картина 3" descr="Сушилн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3" descr="Сушилня.bmp"/>
                    <pic:cNvPicPr>
                      <a:picLocks noChangeAspect="1" noChangeArrowheads="1"/>
                    </pic:cNvPicPr>
                  </pic:nvPicPr>
                  <pic:blipFill>
                    <a:blip r:embed="rId9"/>
                    <a:stretch>
                      <a:fillRect/>
                    </a:stretch>
                  </pic:blipFill>
                  <pic:spPr bwMode="auto">
                    <a:xfrm>
                      <a:off x="0" y="0"/>
                      <a:ext cx="3091180" cy="2260600"/>
                    </a:xfrm>
                    <a:prstGeom prst="rect">
                      <a:avLst/>
                    </a:prstGeom>
                  </pic:spPr>
                </pic:pic>
              </a:graphicData>
            </a:graphic>
          </wp:inline>
        </w:drawing>
      </w:r>
    </w:p>
    <w:p w14:paraId="5B20AF89" w14:textId="77777777" w:rsidR="00B06EAD" w:rsidRDefault="00D20EBD">
      <w:pPr>
        <w:pStyle w:val="Style"/>
        <w:suppressAutoHyphens w:val="0"/>
        <w:spacing w:before="120" w:line="288" w:lineRule="auto"/>
        <w:ind w:left="0" w:right="0" w:firstLine="567"/>
        <w:rPr>
          <w:rFonts w:ascii="Times New Roman" w:hAnsi="Times New Roman" w:cs="Times New Roman"/>
          <w:b/>
          <w:bCs/>
        </w:rPr>
      </w:pPr>
      <w:r>
        <w:rPr>
          <w:rFonts w:ascii="Times New Roman" w:hAnsi="Times New Roman" w:cs="Times New Roman"/>
          <w:b/>
        </w:rPr>
        <w:t xml:space="preserve">Технология измиване на опаковки, съдържащи масла, органични разтворители, мастила и др. </w:t>
      </w:r>
      <w:r>
        <w:rPr>
          <w:rFonts w:ascii="Times New Roman" w:hAnsi="Times New Roman" w:cs="Times New Roman"/>
          <w:b/>
          <w:bCs/>
        </w:rPr>
        <w:t>Инсталация за измиваме на замърсени опаковки – Type6090.</w:t>
      </w:r>
    </w:p>
    <w:p w14:paraId="0FFAFCEE"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Инсталацията за измиване на опаковки представлява цилиндричен съд, разположен хоризонтално. Използва се за вътрешно и външно почистване на варели и малки цилиндрични контейнери чрез четки и едновременно впръскване на разтворител. След поставянето на замърсената опаковка, съдът се запълва с разтворител и посредством въртящите се ролкови четки се почиства. Съдържа две отделни системи за впръскване с циркулиращ разтворител и изплакване с чист. Разположен е сензор на вратата на камерата, което не позволява процеса по измиване да започне преди плътното й затваряне. Камерата за измиване е затворена плътно с капака; наличен е сензор за положение, който гарантира, че процеса на миене не започва докато капакът не е затворен. Миещия разтворител се съхранява в херметично затворен резервоар под пералната камера (без да се отделят пари на разтворителя, когато капака на машината е отворен), резервоара е снабден с ниво превключвател за пълнене и източване. Снабдена е с устойчива на замърсяване двойно-мембранна помпа за измиване и отделна помпа за изплакване, както и с цедка за защита на резервоара от по-големи твърди частици. Въздуха се отвежда с помощта на смукателен вентилатор и преминава през система за почистване на отработения въздух. </w:t>
      </w:r>
    </w:p>
    <w:p w14:paraId="2AC5E7FD"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Замърсения миещ разтворител се регенерира напълно в описаните по-горе съоръжения и се използва многократно.</w:t>
      </w:r>
    </w:p>
    <w:p w14:paraId="0561B13A" w14:textId="77777777" w:rsidR="00B06EAD" w:rsidRDefault="00D20EBD">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Дейностите по измиване на замърсени опаковки се класифицират с код R7 – Оползотворяване на компоненти, използвани за намаляване на замърсяването – според Допълнителните разпоредби на Закона за управление на отпадъците.</w:t>
      </w:r>
    </w:p>
    <w:p w14:paraId="0FD8A928" w14:textId="77777777" w:rsidR="00B06EAD" w:rsidRDefault="00D20EBD">
      <w:pPr>
        <w:spacing w:before="120" w:after="0" w:line="288" w:lineRule="auto"/>
        <w:ind w:firstLine="708"/>
        <w:jc w:val="both"/>
        <w:rPr>
          <w:rFonts w:ascii="Times New Roman" w:hAnsi="Times New Roman" w:cs="Times New Roman"/>
          <w:sz w:val="24"/>
          <w:szCs w:val="24"/>
        </w:rPr>
      </w:pPr>
      <w:r>
        <w:rPr>
          <w:noProof/>
          <w:lang w:eastAsia="bg-BG"/>
        </w:rPr>
        <w:drawing>
          <wp:inline distT="0" distB="0" distL="0" distR="0" wp14:anchorId="0269D039" wp14:editId="3065C890">
            <wp:extent cx="3747770" cy="2763520"/>
            <wp:effectExtent l="0" t="0" r="0" b="0"/>
            <wp:docPr id="5" name="Картина 4" descr="6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4" descr="6090.bmp"/>
                    <pic:cNvPicPr>
                      <a:picLocks noChangeAspect="1" noChangeArrowheads="1"/>
                    </pic:cNvPicPr>
                  </pic:nvPicPr>
                  <pic:blipFill>
                    <a:blip r:embed="rId10"/>
                    <a:stretch>
                      <a:fillRect/>
                    </a:stretch>
                  </pic:blipFill>
                  <pic:spPr bwMode="auto">
                    <a:xfrm>
                      <a:off x="0" y="0"/>
                      <a:ext cx="3747770" cy="2763520"/>
                    </a:xfrm>
                    <a:prstGeom prst="rect">
                      <a:avLst/>
                    </a:prstGeom>
                  </pic:spPr>
                </pic:pic>
              </a:graphicData>
            </a:graphic>
          </wp:inline>
        </w:drawing>
      </w:r>
    </w:p>
    <w:p w14:paraId="05DE2805" w14:textId="77777777" w:rsidR="00B06EAD" w:rsidRDefault="00D20EBD">
      <w:pPr>
        <w:pStyle w:val="Style"/>
        <w:spacing w:before="120" w:line="288" w:lineRule="auto"/>
        <w:ind w:left="0" w:right="0" w:firstLine="0"/>
        <w:rPr>
          <w:rFonts w:ascii="Times New Roman" w:hAnsi="Times New Roman" w:cs="Times New Roman"/>
        </w:rPr>
      </w:pPr>
      <w:r>
        <w:rPr>
          <w:rFonts w:ascii="Times New Roman" w:hAnsi="Times New Roman" w:cs="Times New Roman"/>
        </w:rPr>
        <w:t>Всички съоръжения са взривобезопасни според ATEX, категория 1.</w:t>
      </w:r>
    </w:p>
    <w:p w14:paraId="36B1FC0B" w14:textId="77777777" w:rsidR="00B06EAD" w:rsidRDefault="00D20EBD">
      <w:pPr>
        <w:pStyle w:val="Style"/>
        <w:suppressAutoHyphens w:val="0"/>
        <w:spacing w:before="120" w:line="288" w:lineRule="auto"/>
        <w:ind w:left="0" w:right="0" w:firstLine="708"/>
        <w:jc w:val="left"/>
        <w:rPr>
          <w:rFonts w:ascii="Times New Roman" w:hAnsi="Times New Roman" w:cs="Times New Roman"/>
          <w:b/>
        </w:rPr>
      </w:pPr>
      <w:r>
        <w:rPr>
          <w:rFonts w:ascii="Times New Roman" w:hAnsi="Times New Roman" w:cs="Times New Roman"/>
          <w:b/>
        </w:rPr>
        <w:t>Временно съхранение на производствени отпадъци.</w:t>
      </w:r>
    </w:p>
    <w:p w14:paraId="651EFC9F" w14:textId="77777777" w:rsidR="00B06EAD" w:rsidRDefault="00D20EBD">
      <w:pPr>
        <w:spacing w:before="120" w:after="0" w:line="288" w:lineRule="auto"/>
        <w:jc w:val="both"/>
        <w:rPr>
          <w:rFonts w:ascii="Times New Roman" w:hAnsi="Times New Roman"/>
          <w:sz w:val="24"/>
          <w:szCs w:val="24"/>
        </w:rPr>
      </w:pPr>
      <w:r>
        <w:rPr>
          <w:rFonts w:ascii="Times New Roman" w:hAnsi="Times New Roman"/>
          <w:sz w:val="24"/>
          <w:szCs w:val="24"/>
        </w:rPr>
        <w:t>На обекта се предвижда да се извършва и дейност, класифицирана с код R13 (съхраняване на отпадъци до извършване на която и да е от операциите по букви "а" - "м", освен временното съхраняване до събирането им от мястото на образуване) според Допълнителните разпоредби на Закона за управление на отпадъците.</w:t>
      </w:r>
    </w:p>
    <w:p w14:paraId="70CE5CAA" w14:textId="77777777" w:rsidR="00B06EAD" w:rsidRDefault="00D20EBD">
      <w:pPr>
        <w:spacing w:before="120" w:after="0" w:line="288" w:lineRule="auto"/>
        <w:jc w:val="both"/>
        <w:rPr>
          <w:rFonts w:ascii="Times New Roman" w:hAnsi="Times New Roman"/>
          <w:sz w:val="24"/>
          <w:szCs w:val="24"/>
        </w:rPr>
      </w:pPr>
      <w:r>
        <w:rPr>
          <w:rFonts w:ascii="Times New Roman" w:hAnsi="Times New Roman"/>
          <w:sz w:val="24"/>
          <w:szCs w:val="24"/>
        </w:rPr>
        <w:t>Ще се приемат и съхраняват единствено отпадъци, до последващото им подлагане на  регенерация от наличните на обекта съоръжения, на разтворителите, които съдържат и опаковки, които подлежат на почистване и измиване.</w:t>
      </w:r>
    </w:p>
    <w:p w14:paraId="37C5DE18" w14:textId="77777777" w:rsidR="00B06EAD" w:rsidRDefault="00D20EBD">
      <w:pPr>
        <w:spacing w:before="24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3. Връзка с други съществуващи и одобрени с устройствен</w:t>
      </w:r>
      <w:r>
        <w:rPr>
          <w:rFonts w:ascii="Times New Roman" w:eastAsia="Times New Roman" w:hAnsi="Times New Roman" w:cs="Times New Roman"/>
          <w:sz w:val="24"/>
          <w:szCs w:val="24"/>
          <w:lang w:eastAsia="bg-BG"/>
        </w:rPr>
        <w:t xml:space="preserve"> или друг план дейности в обхвата на въздействие на обекта на инвестиционното предложение, необходимост от издаване на </w:t>
      </w:r>
      <w:proofErr w:type="spellStart"/>
      <w:r>
        <w:rPr>
          <w:rFonts w:ascii="Times New Roman" w:eastAsia="Times New Roman" w:hAnsi="Times New Roman" w:cs="Times New Roman"/>
          <w:sz w:val="24"/>
          <w:szCs w:val="24"/>
          <w:lang w:eastAsia="bg-BG"/>
        </w:rPr>
        <w:t>съгласувателни</w:t>
      </w:r>
      <w:proofErr w:type="spellEnd"/>
      <w:r>
        <w:rPr>
          <w:rFonts w:ascii="Times New Roman" w:eastAsia="Times New Roman" w:hAnsi="Times New Roman" w:cs="Times New Roman"/>
          <w:sz w:val="24"/>
          <w:szCs w:val="24"/>
          <w:lang w:eastAsia="bg-BG"/>
        </w:rPr>
        <w:t>/разрешителни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3CE60DC5"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Инвестиционното предложение е в пряка връзка с ОУП на община Пловдив. За неговата реализация са необходими:</w:t>
      </w:r>
    </w:p>
    <w:p w14:paraId="60AB0A3E" w14:textId="77777777" w:rsidR="00B06EAD" w:rsidRDefault="00D20EBD">
      <w:pPr>
        <w:pStyle w:val="af5"/>
        <w:numPr>
          <w:ilvl w:val="0"/>
          <w:numId w:val="2"/>
        </w:num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Издаване на разрешителен документ по реда на чл. 67 от ЗУО – от Директора на РИОСВ-Пловдив;</w:t>
      </w:r>
    </w:p>
    <w:p w14:paraId="1CB4D7E6" w14:textId="77777777" w:rsidR="00B06EAD" w:rsidRDefault="00D20EBD">
      <w:pPr>
        <w:pStyle w:val="af5"/>
        <w:numPr>
          <w:ilvl w:val="0"/>
          <w:numId w:val="2"/>
        </w:num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t>Разрешение за строеж по ЗУТ – от Община Пловдив.</w:t>
      </w:r>
    </w:p>
    <w:p w14:paraId="60CB5131" w14:textId="77777777" w:rsidR="00B06EAD" w:rsidRDefault="00D20EBD">
      <w:pPr>
        <w:rPr>
          <w:rFonts w:ascii="Times New Roman" w:hAnsi="Times New Roman" w:cs="Times New Roman"/>
          <w:sz w:val="24"/>
          <w:szCs w:val="24"/>
        </w:rPr>
      </w:pPr>
      <w:r>
        <w:br w:type="page"/>
      </w:r>
    </w:p>
    <w:p w14:paraId="72F6BF4E" w14:textId="77777777" w:rsidR="00B06EAD" w:rsidRDefault="00D20EBD">
      <w:pPr>
        <w:spacing w:before="240"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lastRenderedPageBreak/>
        <w:t>4. Местоположение:</w:t>
      </w:r>
    </w:p>
    <w:p w14:paraId="7F1612DC" w14:textId="77777777" w:rsidR="00B06EAD" w:rsidRDefault="00D20EBD">
      <w:pPr>
        <w:spacing w:before="120" w:after="0" w:line="240" w:lineRule="auto"/>
        <w:jc w:val="both"/>
        <w:rPr>
          <w:rFonts w:ascii="Times New Roman" w:eastAsia="Times New Roman" w:hAnsi="Times New Roman" w:cs="Times New Roman"/>
          <w:i/>
          <w:iCs/>
          <w:sz w:val="24"/>
          <w:szCs w:val="24"/>
          <w:lang w:eastAsia="bg-BG"/>
        </w:rPr>
      </w:pPr>
      <w:r>
        <w:rPr>
          <w:rFonts w:ascii="Times New Roman" w:eastAsia="Times New Roman" w:hAnsi="Times New Roman" w:cs="Times New Roman"/>
          <w:i/>
          <w:iCs/>
          <w:sz w:val="24"/>
          <w:szCs w:val="24"/>
          <w:lan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0CDE881F"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sz w:val="24"/>
          <w:szCs w:val="24"/>
          <w:lang w:eastAsia="bg-BG"/>
        </w:rPr>
        <w:t xml:space="preserve">Инвестиционното предложение ще се осъществи </w:t>
      </w:r>
      <w:r>
        <w:rPr>
          <w:rFonts w:ascii="Times New Roman" w:hAnsi="Times New Roman" w:cs="Times New Roman"/>
          <w:sz w:val="24"/>
          <w:szCs w:val="24"/>
        </w:rPr>
        <w:t>в имот с идентификатор 56784.503.465, община Пловдив, област Пловдив, гр. Пловдив, р-н Северен, бул. „Васил Априлов“</w:t>
      </w:r>
      <w:r>
        <w:rPr>
          <w:rFonts w:ascii="Times New Roman" w:eastAsia="Times New Roman" w:hAnsi="Times New Roman" w:cs="Times New Roman"/>
          <w:iCs/>
          <w:sz w:val="24"/>
          <w:szCs w:val="24"/>
          <w:lang w:eastAsia="bg-BG"/>
        </w:rPr>
        <w:t>,</w:t>
      </w:r>
      <w:r>
        <w:rPr>
          <w:rFonts w:ascii="Times New Roman" w:hAnsi="Times New Roman" w:cs="Times New Roman"/>
          <w:sz w:val="24"/>
          <w:szCs w:val="24"/>
        </w:rPr>
        <w:t xml:space="preserve"> обща площ 1500 кв. м. </w:t>
      </w:r>
      <w:r>
        <w:rPr>
          <w:rFonts w:ascii="Times New Roman" w:eastAsia="Times New Roman" w:hAnsi="Times New Roman" w:cs="Times New Roman"/>
          <w:iCs/>
          <w:sz w:val="24"/>
          <w:szCs w:val="24"/>
          <w:lang w:eastAsia="bg-BG"/>
        </w:rPr>
        <w:t>Не се предвижда нова или промяна на съществуваща пътна инфраструктура.</w:t>
      </w:r>
    </w:p>
    <w:p w14:paraId="5018CD06"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Съгласно издадената скица трайното предназначение на територията е урбанизирана, с начин на трайно ползване (НТП): за друг вид производствен, складов обект.</w:t>
      </w:r>
    </w:p>
    <w:p w14:paraId="627E4F1F" w14:textId="77777777" w:rsidR="00B06EAD" w:rsidRDefault="00D20EBD">
      <w:pPr>
        <w:pStyle w:val="20"/>
        <w:shd w:val="clear" w:color="auto" w:fill="auto"/>
        <w:spacing w:before="120" w:line="288" w:lineRule="auto"/>
        <w:ind w:firstLine="0"/>
        <w:jc w:val="center"/>
        <w:rPr>
          <w:rFonts w:ascii="Times New Roman" w:hAnsi="Times New Roman" w:cs="Times New Roman"/>
          <w:b w:val="0"/>
          <w:sz w:val="24"/>
          <w:szCs w:val="24"/>
        </w:rPr>
      </w:pPr>
      <w:r>
        <w:rPr>
          <w:noProof/>
          <w:lang w:eastAsia="bg-BG"/>
        </w:rPr>
        <w:drawing>
          <wp:inline distT="0" distB="0" distL="0" distR="0" wp14:anchorId="4BCC1C73" wp14:editId="706C33FA">
            <wp:extent cx="5224780" cy="4450080"/>
            <wp:effectExtent l="0" t="0" r="0" b="0"/>
            <wp:docPr id="6" name="Картина 7" descr="ЕЛ1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7" descr="ЕЛ1_2.bmp"/>
                    <pic:cNvPicPr>
                      <a:picLocks noChangeAspect="1" noChangeArrowheads="1"/>
                    </pic:cNvPicPr>
                  </pic:nvPicPr>
                  <pic:blipFill>
                    <a:blip r:embed="rId11"/>
                    <a:stretch>
                      <a:fillRect/>
                    </a:stretch>
                  </pic:blipFill>
                  <pic:spPr bwMode="auto">
                    <a:xfrm>
                      <a:off x="0" y="0"/>
                      <a:ext cx="5224780" cy="4450080"/>
                    </a:xfrm>
                    <a:prstGeom prst="rect">
                      <a:avLst/>
                    </a:prstGeom>
                  </pic:spPr>
                </pic:pic>
              </a:graphicData>
            </a:graphic>
          </wp:inline>
        </w:drawing>
      </w:r>
    </w:p>
    <w:p w14:paraId="22AE4057" w14:textId="77777777" w:rsidR="00B06EAD" w:rsidRDefault="00D20EBD">
      <w:pPr>
        <w:pStyle w:val="20"/>
        <w:shd w:val="clear" w:color="auto" w:fill="auto"/>
        <w:spacing w:before="120" w:line="288" w:lineRule="auto"/>
        <w:ind w:firstLine="0"/>
        <w:jc w:val="center"/>
        <w:rPr>
          <w:rFonts w:ascii="Times New Roman" w:hAnsi="Times New Roman" w:cs="Times New Roman"/>
          <w:b w:val="0"/>
          <w:sz w:val="24"/>
          <w:szCs w:val="24"/>
        </w:rPr>
      </w:pPr>
      <w:r>
        <w:rPr>
          <w:noProof/>
          <w:lang w:eastAsia="bg-BG"/>
        </w:rPr>
        <w:lastRenderedPageBreak/>
        <w:drawing>
          <wp:inline distT="0" distB="0" distL="0" distR="0" wp14:anchorId="0212F39D" wp14:editId="2C186FD4">
            <wp:extent cx="5743575" cy="4775200"/>
            <wp:effectExtent l="0" t="0" r="0" b="0"/>
            <wp:docPr id="7" name="Картина 10" descr="ЕЛ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10" descr="ЕЛ1_1.bmp"/>
                    <pic:cNvPicPr>
                      <a:picLocks noChangeAspect="1" noChangeArrowheads="1"/>
                    </pic:cNvPicPr>
                  </pic:nvPicPr>
                  <pic:blipFill>
                    <a:blip r:embed="rId12"/>
                    <a:stretch>
                      <a:fillRect/>
                    </a:stretch>
                  </pic:blipFill>
                  <pic:spPr bwMode="auto">
                    <a:xfrm>
                      <a:off x="0" y="0"/>
                      <a:ext cx="5743575" cy="4775200"/>
                    </a:xfrm>
                    <a:prstGeom prst="rect">
                      <a:avLst/>
                    </a:prstGeom>
                  </pic:spPr>
                </pic:pic>
              </a:graphicData>
            </a:graphic>
          </wp:inline>
        </w:drawing>
      </w:r>
    </w:p>
    <w:p w14:paraId="11E7088C"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Географски координати (WGS 84, UTM 35N):</w:t>
      </w:r>
    </w:p>
    <w:p w14:paraId="673FAC83"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А:</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N: </w:t>
      </w:r>
      <w:r>
        <w:rPr>
          <w:rFonts w:ascii="Times New Roman" w:eastAsia="Calibri" w:hAnsi="Times New Roman" w:cs="Times New Roman"/>
          <w:sz w:val="24"/>
          <w:szCs w:val="24"/>
        </w:rPr>
        <w:t xml:space="preserve">42° 9.915’; </w:t>
      </w:r>
      <w:r>
        <w:rPr>
          <w:rFonts w:ascii="Times New Roman" w:eastAsia="Calibri" w:hAnsi="Times New Roman" w:cs="Times New Roman"/>
          <w:sz w:val="24"/>
          <w:szCs w:val="24"/>
          <w:lang w:val="en-US"/>
        </w:rPr>
        <w:t xml:space="preserve">E: </w:t>
      </w:r>
      <w:r>
        <w:rPr>
          <w:rFonts w:ascii="Times New Roman" w:eastAsia="Calibri" w:hAnsi="Times New Roman" w:cs="Times New Roman"/>
          <w:sz w:val="24"/>
          <w:szCs w:val="24"/>
        </w:rPr>
        <w:t>24° 43.027’</w:t>
      </w:r>
    </w:p>
    <w:p w14:paraId="10CA0CA3"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N: </w:t>
      </w:r>
      <w:r>
        <w:rPr>
          <w:rFonts w:ascii="Times New Roman" w:eastAsia="Calibri" w:hAnsi="Times New Roman" w:cs="Times New Roman"/>
          <w:sz w:val="24"/>
          <w:szCs w:val="24"/>
        </w:rPr>
        <w:t>42° 9.920’;</w:t>
      </w:r>
      <w:r>
        <w:rPr>
          <w:rFonts w:ascii="Times New Roman" w:eastAsia="Calibri" w:hAnsi="Times New Roman" w:cs="Times New Roman"/>
          <w:sz w:val="24"/>
          <w:szCs w:val="24"/>
          <w:lang w:val="en-US"/>
        </w:rPr>
        <w:t xml:space="preserve"> E:</w:t>
      </w:r>
      <w:r>
        <w:rPr>
          <w:rFonts w:ascii="Times New Roman" w:eastAsia="Calibri" w:hAnsi="Times New Roman" w:cs="Times New Roman"/>
          <w:sz w:val="24"/>
          <w:szCs w:val="24"/>
        </w:rPr>
        <w:t xml:space="preserve"> 24° 43.093’</w:t>
      </w:r>
    </w:p>
    <w:p w14:paraId="32538409"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N: </w:t>
      </w:r>
      <w:r>
        <w:rPr>
          <w:rFonts w:ascii="Times New Roman" w:eastAsia="Calibri" w:hAnsi="Times New Roman" w:cs="Times New Roman"/>
          <w:sz w:val="24"/>
          <w:szCs w:val="24"/>
        </w:rPr>
        <w:t>42° 9.906’;</w:t>
      </w:r>
      <w:r>
        <w:rPr>
          <w:rFonts w:ascii="Times New Roman" w:eastAsia="Calibri" w:hAnsi="Times New Roman" w:cs="Times New Roman"/>
          <w:sz w:val="24"/>
          <w:szCs w:val="24"/>
          <w:lang w:val="en-US"/>
        </w:rPr>
        <w:t xml:space="preserve"> E:</w:t>
      </w:r>
      <w:r>
        <w:rPr>
          <w:rFonts w:ascii="Times New Roman" w:eastAsia="Calibri" w:hAnsi="Times New Roman" w:cs="Times New Roman"/>
          <w:sz w:val="24"/>
          <w:szCs w:val="24"/>
        </w:rPr>
        <w:t xml:space="preserve"> 24° 43.095’</w:t>
      </w:r>
    </w:p>
    <w:p w14:paraId="48FD174C"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N: </w:t>
      </w:r>
      <w:r>
        <w:rPr>
          <w:rFonts w:ascii="Times New Roman" w:eastAsia="Calibri" w:hAnsi="Times New Roman" w:cs="Times New Roman"/>
          <w:sz w:val="24"/>
          <w:szCs w:val="24"/>
        </w:rPr>
        <w:t>42° 9.987’;</w:t>
      </w:r>
      <w:r>
        <w:rPr>
          <w:rFonts w:ascii="Times New Roman" w:eastAsia="Calibri" w:hAnsi="Times New Roman" w:cs="Times New Roman"/>
          <w:sz w:val="24"/>
          <w:szCs w:val="24"/>
          <w:lang w:val="en-US"/>
        </w:rPr>
        <w:t xml:space="preserve"> E:</w:t>
      </w:r>
      <w:r>
        <w:rPr>
          <w:rFonts w:ascii="Times New Roman" w:eastAsia="Calibri" w:hAnsi="Times New Roman" w:cs="Times New Roman"/>
          <w:sz w:val="24"/>
          <w:szCs w:val="24"/>
        </w:rPr>
        <w:t xml:space="preserve"> 24° 43.030’</w:t>
      </w:r>
    </w:p>
    <w:p w14:paraId="3073AA22" w14:textId="77777777" w:rsidR="00B06EAD" w:rsidRDefault="00D20EBD">
      <w:pPr>
        <w:spacing w:before="120" w:after="0" w:line="288"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Приложена е скица, издадена от СГКК – Пловдив:</w:t>
      </w:r>
    </w:p>
    <w:p w14:paraId="6052A6ED" w14:textId="0404C151" w:rsidR="00B06EAD" w:rsidRDefault="00D1783C">
      <w:pPr>
        <w:spacing w:before="120" w:after="0" w:line="288" w:lineRule="auto"/>
        <w:ind w:left="-851" w:right="-994"/>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bg-BG"/>
        </w:rPr>
        <w:lastRenderedPageBreak/>
        <w:drawing>
          <wp:inline distT="0" distB="0" distL="0" distR="0" wp14:anchorId="4578F9F9" wp14:editId="563EC179">
            <wp:extent cx="6519545" cy="9136049"/>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7850" cy="9147687"/>
                    </a:xfrm>
                    <a:prstGeom prst="rect">
                      <a:avLst/>
                    </a:prstGeom>
                  </pic:spPr>
                </pic:pic>
              </a:graphicData>
            </a:graphic>
          </wp:inline>
        </w:drawing>
      </w:r>
    </w:p>
    <w:p w14:paraId="5DDAC45D" w14:textId="77777777" w:rsidR="00B06EAD" w:rsidRDefault="00D20EBD">
      <w:pPr>
        <w:pStyle w:val="20"/>
        <w:shd w:val="clear" w:color="auto" w:fill="auto"/>
        <w:spacing w:before="120" w:line="288" w:lineRule="auto"/>
        <w:ind w:firstLine="0"/>
        <w:jc w:val="both"/>
        <w:rPr>
          <w:rFonts w:ascii="Times New Roman" w:hAnsi="Times New Roman" w:cs="Times New Roman"/>
          <w:b w:val="0"/>
          <w:sz w:val="24"/>
          <w:szCs w:val="24"/>
        </w:rPr>
      </w:pPr>
      <w:r>
        <w:rPr>
          <w:rFonts w:ascii="Times New Roman" w:hAnsi="Times New Roman" w:cs="Times New Roman"/>
          <w:b w:val="0"/>
          <w:sz w:val="24"/>
          <w:szCs w:val="24"/>
        </w:rPr>
        <w:lastRenderedPageBreak/>
        <w:t>Обекта не се намира в близост до елементи на Националната екологична мрежа (НЕМ), обекти, подлежащи на здравна защита и територии за опазване на обектите на културното наследство. Най-близката защитена зона е BG0000578 – Река Марица, защитена зона по Директива 92/43/ЕЕС за опазване на природните местообитания и на дивата флора и фауна, отстояща на 1</w:t>
      </w:r>
      <w:r>
        <w:rPr>
          <w:rFonts w:ascii="Times New Roman" w:hAnsi="Times New Roman" w:cs="Times New Roman"/>
          <w:b w:val="0"/>
          <w:sz w:val="24"/>
          <w:szCs w:val="24"/>
          <w:lang w:val="en-US"/>
        </w:rPr>
        <w:t>,</w:t>
      </w:r>
      <w:r>
        <w:rPr>
          <w:rFonts w:ascii="Times New Roman" w:hAnsi="Times New Roman" w:cs="Times New Roman"/>
          <w:b w:val="0"/>
          <w:sz w:val="24"/>
          <w:szCs w:val="24"/>
        </w:rPr>
        <w:t>2 км. южно от обекта:</w:t>
      </w:r>
    </w:p>
    <w:p w14:paraId="2CABFDB3" w14:textId="77777777" w:rsidR="00B06EAD" w:rsidRDefault="00D20EBD">
      <w:pPr>
        <w:pStyle w:val="20"/>
        <w:shd w:val="clear" w:color="auto" w:fill="auto"/>
        <w:spacing w:before="120" w:line="288" w:lineRule="auto"/>
        <w:ind w:firstLine="0"/>
        <w:jc w:val="center"/>
        <w:rPr>
          <w:rFonts w:ascii="Times New Roman" w:hAnsi="Times New Roman" w:cs="Times New Roman"/>
          <w:b w:val="0"/>
          <w:sz w:val="24"/>
          <w:szCs w:val="24"/>
        </w:rPr>
      </w:pPr>
      <w:r>
        <w:rPr>
          <w:noProof/>
          <w:lang w:eastAsia="bg-BG"/>
        </w:rPr>
        <w:drawing>
          <wp:inline distT="0" distB="0" distL="0" distR="0" wp14:anchorId="33E7A39B" wp14:editId="587C30FF">
            <wp:extent cx="5160645" cy="5829935"/>
            <wp:effectExtent l="0" t="0" r="0" b="0"/>
            <wp:docPr id="9" name="Изображение1" descr="Е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 descr="Е4_1.bmp"/>
                    <pic:cNvPicPr>
                      <a:picLocks noChangeAspect="1" noChangeArrowheads="1"/>
                    </pic:cNvPicPr>
                  </pic:nvPicPr>
                  <pic:blipFill>
                    <a:blip r:embed="rId14"/>
                    <a:stretch>
                      <a:fillRect/>
                    </a:stretch>
                  </pic:blipFill>
                  <pic:spPr bwMode="auto">
                    <a:xfrm>
                      <a:off x="0" y="0"/>
                      <a:ext cx="5160645" cy="5829935"/>
                    </a:xfrm>
                    <a:prstGeom prst="rect">
                      <a:avLst/>
                    </a:prstGeom>
                  </pic:spPr>
                </pic:pic>
              </a:graphicData>
            </a:graphic>
          </wp:inline>
        </w:drawing>
      </w:r>
    </w:p>
    <w:p w14:paraId="5D3094AB" w14:textId="77777777" w:rsidR="00B06EAD" w:rsidRDefault="00B06EAD">
      <w:pPr>
        <w:pStyle w:val="20"/>
        <w:shd w:val="clear" w:color="auto" w:fill="auto"/>
        <w:spacing w:line="240" w:lineRule="auto"/>
        <w:ind w:right="339" w:firstLine="567"/>
        <w:jc w:val="center"/>
        <w:rPr>
          <w:rFonts w:ascii="Times New Roman" w:hAnsi="Times New Roman" w:cs="Times New Roman"/>
          <w:b w:val="0"/>
          <w:sz w:val="24"/>
          <w:szCs w:val="24"/>
        </w:rPr>
      </w:pPr>
    </w:p>
    <w:p w14:paraId="2BC43964" w14:textId="77777777" w:rsidR="00B06EAD" w:rsidRDefault="00D20EBD">
      <w:pPr>
        <w:tabs>
          <w:tab w:val="left" w:pos="9639"/>
        </w:tabs>
        <w:spacing w:before="120" w:after="0" w:line="288" w:lineRule="auto"/>
        <w:jc w:val="both"/>
        <w:rPr>
          <w:rFonts w:ascii="Times New Roman" w:hAnsi="Times New Roman"/>
          <w:sz w:val="23"/>
          <w:szCs w:val="23"/>
        </w:rPr>
      </w:pPr>
      <w:r>
        <w:rPr>
          <w:rStyle w:val="FontStyle13"/>
          <w:rFonts w:ascii="Times New Roman" w:hAnsi="Times New Roman" w:cs="Times New Roman"/>
          <w:sz w:val="23"/>
          <w:szCs w:val="23"/>
        </w:rPr>
        <w:t xml:space="preserve">Преценката за вероятната степен на отрицателно въздействие на инвестиционното предложение върху най-близките защитени зони, ще бъде направена при необходимост на етап - </w:t>
      </w:r>
      <w:r>
        <w:rPr>
          <w:rStyle w:val="FontStyle12"/>
          <w:rFonts w:ascii="Times New Roman" w:hAnsi="Times New Roman" w:cs="Times New Roman"/>
          <w:sz w:val="23"/>
          <w:szCs w:val="23"/>
        </w:rPr>
        <w:t>представяне на информация за преценяване на необходимостта от ОВОС.</w:t>
      </w:r>
    </w:p>
    <w:p w14:paraId="21DA7FEE" w14:textId="77777777" w:rsidR="00B06EAD" w:rsidRDefault="00D20EBD">
      <w:pPr>
        <w:spacing w:before="240"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5. Природни ресурси, предвидени за използване по време на строителството и експлоатацията:</w:t>
      </w:r>
    </w:p>
    <w:p w14:paraId="566A95B1" w14:textId="77777777" w:rsidR="00B06EAD" w:rsidRDefault="00D20EBD">
      <w:pPr>
        <w:spacing w:after="0" w:line="240" w:lineRule="auto"/>
        <w:jc w:val="both"/>
        <w:rPr>
          <w:rFonts w:ascii="Times New Roman" w:eastAsia="Times New Roman" w:hAnsi="Times New Roman" w:cs="Times New Roman"/>
          <w:i/>
          <w:iCs/>
          <w:sz w:val="24"/>
          <w:szCs w:val="24"/>
          <w:lang w:eastAsia="bg-BG"/>
        </w:rPr>
      </w:pPr>
      <w:r>
        <w:rPr>
          <w:rFonts w:ascii="Times New Roman" w:eastAsia="Times New Roman" w:hAnsi="Times New Roman" w:cs="Times New Roman"/>
          <w:i/>
          <w:iCs/>
          <w:sz w:val="24"/>
          <w:szCs w:val="24"/>
          <w:lang w:eastAsia="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51FD8509"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lastRenderedPageBreak/>
        <w:t>По време на строителството ще се използват основно горива и ел. енергия за строителните машини и традиционни строителни материали, доставяни от лицензирани фирми и от търговската мрежа. Технологичното оборудване ще се достави и монтира от специализирана фирма.</w:t>
      </w:r>
    </w:p>
    <w:p w14:paraId="05E58D07"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По време на експлоатацията ще се използват основно ел. енергия и вода за питейно-битови и производствени нужди. Електрозахранването на обекта ще се осъществи от съществуващата електроразпределителна мрежа, експлоатирана от ЕВН-България, съгласно разрешение за присъединяване.</w:t>
      </w:r>
    </w:p>
    <w:p w14:paraId="52600874"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Водоснабдяването ще се осъществи от градската водопроводна мрежа, експлоатирана от „ВиК“ ЕООД-Пловдив, съгласно разрешение за присъединяване.</w:t>
      </w:r>
    </w:p>
    <w:p w14:paraId="49312BD9" w14:textId="77777777" w:rsidR="00B06EAD" w:rsidRDefault="00D20EBD">
      <w:pPr>
        <w:spacing w:before="24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6. Очаквани вещества, които ще бъдат емитирани от дейността</w:t>
      </w:r>
      <w:r>
        <w:rPr>
          <w:rFonts w:ascii="Times New Roman" w:eastAsia="Times New Roman" w:hAnsi="Times New Roman" w:cs="Times New Roman"/>
          <w:sz w:val="24"/>
          <w:szCs w:val="24"/>
          <w:lang w:eastAsia="bg-BG"/>
        </w:rPr>
        <w:t>, в т.ч. приоритетни и/или опасни, при които се осъществява или е възможен контакт с води:</w:t>
      </w:r>
    </w:p>
    <w:p w14:paraId="7E6BF846" w14:textId="77777777" w:rsidR="00B06EAD" w:rsidRDefault="00D20EBD">
      <w:pPr>
        <w:spacing w:before="120" w:after="0" w:line="288"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Няма такива вещества.</w:t>
      </w:r>
    </w:p>
    <w:p w14:paraId="0F208A79" w14:textId="77777777" w:rsidR="00B06EAD" w:rsidRDefault="00D20EBD">
      <w:pPr>
        <w:spacing w:before="240" w:after="0" w:line="288"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7. Очаквани общи емисии на </w:t>
      </w:r>
      <w:bookmarkStart w:id="1" w:name="_Hlk36457830"/>
      <w:r>
        <w:rPr>
          <w:rFonts w:ascii="Times New Roman" w:eastAsia="Times New Roman" w:hAnsi="Times New Roman" w:cs="Times New Roman"/>
          <w:b/>
          <w:sz w:val="24"/>
          <w:szCs w:val="24"/>
          <w:lang w:eastAsia="bg-BG"/>
        </w:rPr>
        <w:t xml:space="preserve">вредни вещества във въздуха </w:t>
      </w:r>
      <w:bookmarkEnd w:id="1"/>
      <w:r>
        <w:rPr>
          <w:rFonts w:ascii="Times New Roman" w:eastAsia="Times New Roman" w:hAnsi="Times New Roman" w:cs="Times New Roman"/>
          <w:b/>
          <w:sz w:val="24"/>
          <w:szCs w:val="24"/>
          <w:lang w:eastAsia="bg-BG"/>
        </w:rPr>
        <w:t>по замърсители:</w:t>
      </w:r>
    </w:p>
    <w:p w14:paraId="6E6CECF1" w14:textId="77777777" w:rsidR="00B06EAD" w:rsidRDefault="00D20EBD">
      <w:pPr>
        <w:spacing w:before="120" w:after="0" w:line="288" w:lineRule="auto"/>
        <w:jc w:val="both"/>
        <w:rPr>
          <w:rFonts w:ascii="Times New Roman" w:eastAsia="Times New Roman" w:hAnsi="Times New Roman" w:cs="Times New Roman"/>
          <w:sz w:val="24"/>
          <w:szCs w:val="24"/>
          <w:lang w:eastAsia="bg-BG"/>
        </w:rPr>
      </w:pPr>
      <w:r>
        <w:rPr>
          <w:rFonts w:ascii="Times New Roman" w:hAnsi="Times New Roman"/>
          <w:sz w:val="24"/>
          <w:szCs w:val="24"/>
        </w:rPr>
        <w:t>Не се очакват емисии на вредни вещества във въздуха по време на СМР. При започване на дейността не се очаква емитиране на вредни вещества във въздуха, но ще бъдат направени измервания и анализи от лицензирана лаборатория,  и при нужда  ще бъде изготвен и съгласуван в РИОСВ – Пловдив план за собствен мониторинг на емисиите във въздуха.</w:t>
      </w:r>
    </w:p>
    <w:p w14:paraId="63CAC11A" w14:textId="77777777" w:rsidR="00B06EAD" w:rsidRDefault="00D20EBD">
      <w:pPr>
        <w:spacing w:before="240"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8. Отпадъци, които се очаква да се генерират, и предвиждания за тяхното третиране:</w:t>
      </w:r>
    </w:p>
    <w:p w14:paraId="745EDD7B" w14:textId="77777777" w:rsidR="00B06EAD" w:rsidRDefault="00D20EBD">
      <w:pPr>
        <w:widowControl w:val="0"/>
        <w:spacing w:before="240" w:after="240" w:line="288" w:lineRule="auto"/>
        <w:jc w:val="both"/>
        <w:rPr>
          <w:rFonts w:ascii="Times New Roman" w:hAnsi="Times New Roman"/>
          <w:sz w:val="24"/>
          <w:szCs w:val="24"/>
        </w:rPr>
      </w:pPr>
      <w:r>
        <w:rPr>
          <w:rFonts w:ascii="Times New Roman" w:hAnsi="Times New Roman"/>
          <w:sz w:val="24"/>
          <w:szCs w:val="24"/>
        </w:rPr>
        <w:t>На етап СМР по обекта ще се образуват следните строителни отпадъци:</w:t>
      </w:r>
    </w:p>
    <w:tbl>
      <w:tblPr>
        <w:tblW w:w="7171" w:type="dxa"/>
        <w:jc w:val="center"/>
        <w:tblLayout w:type="fixed"/>
        <w:tblCellMar>
          <w:left w:w="70" w:type="dxa"/>
          <w:right w:w="70" w:type="dxa"/>
        </w:tblCellMar>
        <w:tblLook w:val="04A0" w:firstRow="1" w:lastRow="0" w:firstColumn="1" w:lastColumn="0" w:noHBand="0" w:noVBand="1"/>
      </w:tblPr>
      <w:tblGrid>
        <w:gridCol w:w="1850"/>
        <w:gridCol w:w="5321"/>
      </w:tblGrid>
      <w:tr w:rsidR="00B06EAD" w14:paraId="69165416" w14:textId="77777777">
        <w:trPr>
          <w:trHeight w:val="22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AC1F"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17 01 01</w:t>
            </w:r>
          </w:p>
        </w:tc>
        <w:tc>
          <w:tcPr>
            <w:tcW w:w="5320" w:type="dxa"/>
            <w:tcBorders>
              <w:top w:val="single" w:sz="4" w:space="0" w:color="000000"/>
              <w:bottom w:val="single" w:sz="4" w:space="0" w:color="000000"/>
              <w:right w:val="single" w:sz="4" w:space="0" w:color="000000"/>
            </w:tcBorders>
            <w:shd w:val="clear" w:color="auto" w:fill="auto"/>
            <w:vAlign w:val="center"/>
          </w:tcPr>
          <w:p w14:paraId="68CF0597"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Бетон</w:t>
            </w:r>
          </w:p>
        </w:tc>
      </w:tr>
      <w:tr w:rsidR="00B06EAD" w14:paraId="7BD8DCC9" w14:textId="77777777">
        <w:trPr>
          <w:trHeight w:val="225"/>
          <w:jc w:val="center"/>
        </w:trPr>
        <w:tc>
          <w:tcPr>
            <w:tcW w:w="1850" w:type="dxa"/>
            <w:tcBorders>
              <w:left w:val="single" w:sz="4" w:space="0" w:color="000000"/>
              <w:bottom w:val="single" w:sz="4" w:space="0" w:color="000000"/>
              <w:right w:val="single" w:sz="4" w:space="0" w:color="000000"/>
            </w:tcBorders>
            <w:shd w:val="clear" w:color="auto" w:fill="auto"/>
            <w:vAlign w:val="center"/>
          </w:tcPr>
          <w:p w14:paraId="18A4AEDB"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17 01 02</w:t>
            </w:r>
          </w:p>
        </w:tc>
        <w:tc>
          <w:tcPr>
            <w:tcW w:w="5320" w:type="dxa"/>
            <w:tcBorders>
              <w:bottom w:val="single" w:sz="4" w:space="0" w:color="000000"/>
              <w:right w:val="single" w:sz="4" w:space="0" w:color="000000"/>
            </w:tcBorders>
            <w:shd w:val="clear" w:color="auto" w:fill="auto"/>
            <w:vAlign w:val="center"/>
          </w:tcPr>
          <w:p w14:paraId="00D4B964"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Тухли</w:t>
            </w:r>
          </w:p>
        </w:tc>
      </w:tr>
      <w:tr w:rsidR="00B06EAD" w14:paraId="12CCA9E3" w14:textId="77777777">
        <w:trPr>
          <w:trHeight w:val="225"/>
          <w:jc w:val="center"/>
        </w:trPr>
        <w:tc>
          <w:tcPr>
            <w:tcW w:w="1850" w:type="dxa"/>
            <w:tcBorders>
              <w:left w:val="single" w:sz="4" w:space="0" w:color="000000"/>
              <w:bottom w:val="single" w:sz="4" w:space="0" w:color="000000"/>
              <w:right w:val="single" w:sz="4" w:space="0" w:color="000000"/>
            </w:tcBorders>
            <w:shd w:val="clear" w:color="auto" w:fill="auto"/>
            <w:vAlign w:val="center"/>
          </w:tcPr>
          <w:p w14:paraId="499AF259"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17 01 03</w:t>
            </w:r>
          </w:p>
        </w:tc>
        <w:tc>
          <w:tcPr>
            <w:tcW w:w="5320" w:type="dxa"/>
            <w:tcBorders>
              <w:bottom w:val="single" w:sz="4" w:space="0" w:color="000000"/>
              <w:right w:val="single" w:sz="4" w:space="0" w:color="000000"/>
            </w:tcBorders>
            <w:shd w:val="clear" w:color="auto" w:fill="auto"/>
            <w:vAlign w:val="center"/>
          </w:tcPr>
          <w:p w14:paraId="585011EE"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керемиди, плочки, фаянсови и керамични изделия</w:t>
            </w:r>
          </w:p>
        </w:tc>
      </w:tr>
      <w:tr w:rsidR="00B06EAD" w14:paraId="16A4D608" w14:textId="77777777">
        <w:trPr>
          <w:trHeight w:val="450"/>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1572"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17 01 07</w:t>
            </w:r>
          </w:p>
        </w:tc>
        <w:tc>
          <w:tcPr>
            <w:tcW w:w="5320" w:type="dxa"/>
            <w:tcBorders>
              <w:top w:val="single" w:sz="4" w:space="0" w:color="000000"/>
              <w:bottom w:val="single" w:sz="4" w:space="0" w:color="000000"/>
              <w:right w:val="single" w:sz="4" w:space="0" w:color="000000"/>
            </w:tcBorders>
            <w:shd w:val="clear" w:color="auto" w:fill="auto"/>
            <w:vAlign w:val="center"/>
          </w:tcPr>
          <w:p w14:paraId="5BA9A827"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смеси от бетон, тухли, керемиди, плочки, фаянсови и керамични изделия, различни от упоменатите в 17 01 06</w:t>
            </w:r>
          </w:p>
        </w:tc>
      </w:tr>
      <w:tr w:rsidR="00B06EAD" w14:paraId="31D9997A" w14:textId="77777777">
        <w:trPr>
          <w:trHeight w:val="22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3C008"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17 05 04</w:t>
            </w:r>
          </w:p>
        </w:tc>
        <w:tc>
          <w:tcPr>
            <w:tcW w:w="5320" w:type="dxa"/>
            <w:tcBorders>
              <w:top w:val="single" w:sz="4" w:space="0" w:color="000000"/>
              <w:bottom w:val="single" w:sz="4" w:space="0" w:color="000000"/>
              <w:right w:val="single" w:sz="4" w:space="0" w:color="000000"/>
            </w:tcBorders>
            <w:shd w:val="clear" w:color="auto" w:fill="auto"/>
            <w:vAlign w:val="center"/>
          </w:tcPr>
          <w:p w14:paraId="26DAC58E"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почва и камъни, различни от упоменатите в 17 05 03</w:t>
            </w:r>
          </w:p>
        </w:tc>
      </w:tr>
    </w:tbl>
    <w:p w14:paraId="03E19C57" w14:textId="77777777" w:rsidR="00B06EAD" w:rsidRDefault="00D20EBD">
      <w:pPr>
        <w:widowControl w:val="0"/>
        <w:spacing w:before="240" w:after="120" w:line="288" w:lineRule="auto"/>
        <w:jc w:val="both"/>
        <w:rPr>
          <w:rFonts w:ascii="Times New Roman" w:hAnsi="Times New Roman"/>
          <w:sz w:val="24"/>
          <w:szCs w:val="24"/>
        </w:rPr>
      </w:pPr>
      <w:r>
        <w:rPr>
          <w:rFonts w:ascii="Times New Roman" w:hAnsi="Times New Roman"/>
          <w:sz w:val="24"/>
          <w:szCs w:val="24"/>
        </w:rPr>
        <w:t>Строителните отпадъци ще се събират в контейнер и ще се извозват на депото за строителни отпадъци в гр. Асеновград.</w:t>
      </w:r>
    </w:p>
    <w:p w14:paraId="01375FDF" w14:textId="77777777" w:rsidR="00B06EAD" w:rsidRDefault="00D20EBD">
      <w:pPr>
        <w:rPr>
          <w:rFonts w:ascii="Times New Roman" w:hAnsi="Times New Roman"/>
          <w:sz w:val="24"/>
          <w:szCs w:val="24"/>
        </w:rPr>
      </w:pPr>
      <w:r>
        <w:br w:type="page"/>
      </w:r>
    </w:p>
    <w:p w14:paraId="44658C35" w14:textId="77777777" w:rsidR="00B06EAD" w:rsidRDefault="00D20EBD">
      <w:pPr>
        <w:widowControl w:val="0"/>
        <w:spacing w:before="120" w:after="240" w:line="288" w:lineRule="auto"/>
        <w:jc w:val="both"/>
        <w:rPr>
          <w:rFonts w:ascii="Times New Roman" w:hAnsi="Times New Roman"/>
          <w:sz w:val="24"/>
          <w:szCs w:val="24"/>
        </w:rPr>
      </w:pPr>
      <w:r>
        <w:rPr>
          <w:rFonts w:ascii="Times New Roman" w:hAnsi="Times New Roman"/>
          <w:sz w:val="24"/>
          <w:szCs w:val="24"/>
        </w:rPr>
        <w:lastRenderedPageBreak/>
        <w:t>На етап експлоатации на обекта се очаква да се образуват следните отпадъци:</w:t>
      </w:r>
    </w:p>
    <w:tbl>
      <w:tblPr>
        <w:tblW w:w="7171" w:type="dxa"/>
        <w:jc w:val="center"/>
        <w:tblLayout w:type="fixed"/>
        <w:tblCellMar>
          <w:left w:w="70" w:type="dxa"/>
          <w:right w:w="70" w:type="dxa"/>
        </w:tblCellMar>
        <w:tblLook w:val="04A0" w:firstRow="1" w:lastRow="0" w:firstColumn="1" w:lastColumn="0" w:noHBand="0" w:noVBand="1"/>
      </w:tblPr>
      <w:tblGrid>
        <w:gridCol w:w="1850"/>
        <w:gridCol w:w="5321"/>
      </w:tblGrid>
      <w:tr w:rsidR="00B06EAD" w14:paraId="6168DDAB" w14:textId="77777777">
        <w:trPr>
          <w:trHeight w:val="67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0AED1"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15 02 02*</w:t>
            </w:r>
          </w:p>
        </w:tc>
        <w:tc>
          <w:tcPr>
            <w:tcW w:w="5320" w:type="dxa"/>
            <w:tcBorders>
              <w:top w:val="single" w:sz="4" w:space="0" w:color="000000"/>
              <w:bottom w:val="single" w:sz="4" w:space="0" w:color="000000"/>
              <w:right w:val="single" w:sz="4" w:space="0" w:color="000000"/>
            </w:tcBorders>
            <w:shd w:val="clear" w:color="auto" w:fill="auto"/>
            <w:vAlign w:val="center"/>
          </w:tcPr>
          <w:p w14:paraId="28FF3389" w14:textId="77777777" w:rsidR="00B06EAD" w:rsidRDefault="00D20EBD">
            <w:pPr>
              <w:widowControl w:val="0"/>
              <w:spacing w:after="0" w:line="240" w:lineRule="auto"/>
              <w:ind w:right="339"/>
              <w:rPr>
                <w:rFonts w:ascii="Times New Roman" w:eastAsia="Times New Roman" w:hAnsi="Times New Roman"/>
                <w:sz w:val="24"/>
                <w:szCs w:val="24"/>
                <w:lang w:eastAsia="bg-BG"/>
              </w:rPr>
            </w:pPr>
            <w:proofErr w:type="spellStart"/>
            <w:r>
              <w:rPr>
                <w:rFonts w:ascii="Times New Roman" w:eastAsia="Times New Roman" w:hAnsi="Times New Roman"/>
                <w:sz w:val="24"/>
                <w:szCs w:val="24"/>
                <w:lang w:eastAsia="bg-BG"/>
              </w:rPr>
              <w:t>абсорбенти</w:t>
            </w:r>
            <w:proofErr w:type="spellEnd"/>
            <w:r>
              <w:rPr>
                <w:rFonts w:ascii="Times New Roman" w:eastAsia="Times New Roman" w:hAnsi="Times New Roman"/>
                <w:sz w:val="24"/>
                <w:szCs w:val="24"/>
                <w:lang w:eastAsia="bg-BG"/>
              </w:rPr>
              <w:t xml:space="preserve">, филтърни материали (включително маслени филтри, </w:t>
            </w:r>
            <w:proofErr w:type="spellStart"/>
            <w:r>
              <w:rPr>
                <w:rFonts w:ascii="Times New Roman" w:eastAsia="Times New Roman" w:hAnsi="Times New Roman"/>
                <w:sz w:val="24"/>
                <w:szCs w:val="24"/>
                <w:lang w:eastAsia="bg-BG"/>
              </w:rPr>
              <w:t>неупоменати</w:t>
            </w:r>
            <w:proofErr w:type="spellEnd"/>
            <w:r>
              <w:rPr>
                <w:rFonts w:ascii="Times New Roman" w:eastAsia="Times New Roman" w:hAnsi="Times New Roman"/>
                <w:sz w:val="24"/>
                <w:szCs w:val="24"/>
                <w:lang w:eastAsia="bg-BG"/>
              </w:rPr>
              <w:t xml:space="preserve"> другаде), кърпи за изтриване и предпазни облекла, замърсени с опасни вещества</w:t>
            </w:r>
          </w:p>
        </w:tc>
      </w:tr>
      <w:tr w:rsidR="00B06EAD" w14:paraId="5A01E90B" w14:textId="77777777">
        <w:trPr>
          <w:trHeight w:val="450"/>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CCD3B"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02 05*</w:t>
            </w:r>
          </w:p>
        </w:tc>
        <w:tc>
          <w:tcPr>
            <w:tcW w:w="5320" w:type="dxa"/>
            <w:tcBorders>
              <w:top w:val="single" w:sz="4" w:space="0" w:color="000000"/>
              <w:bottom w:val="single" w:sz="4" w:space="0" w:color="000000"/>
              <w:right w:val="single" w:sz="4" w:space="0" w:color="000000"/>
            </w:tcBorders>
            <w:shd w:val="clear" w:color="auto" w:fill="auto"/>
            <w:vAlign w:val="center"/>
          </w:tcPr>
          <w:p w14:paraId="7929F751"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утайки от физико-химично обработване, съдържащи опасни вещества</w:t>
            </w:r>
          </w:p>
        </w:tc>
      </w:tr>
      <w:tr w:rsidR="00B06EAD" w14:paraId="3FD3BCB6" w14:textId="77777777">
        <w:trPr>
          <w:trHeight w:val="450"/>
          <w:jc w:val="center"/>
        </w:trPr>
        <w:tc>
          <w:tcPr>
            <w:tcW w:w="1850" w:type="dxa"/>
            <w:tcBorders>
              <w:left w:val="single" w:sz="4" w:space="0" w:color="000000"/>
              <w:bottom w:val="single" w:sz="4" w:space="0" w:color="000000"/>
              <w:right w:val="single" w:sz="4" w:space="0" w:color="000000"/>
            </w:tcBorders>
            <w:shd w:val="clear" w:color="auto" w:fill="auto"/>
            <w:vAlign w:val="center"/>
          </w:tcPr>
          <w:p w14:paraId="16562656"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19 02 06</w:t>
            </w:r>
          </w:p>
        </w:tc>
        <w:tc>
          <w:tcPr>
            <w:tcW w:w="5320" w:type="dxa"/>
            <w:tcBorders>
              <w:bottom w:val="single" w:sz="4" w:space="0" w:color="000000"/>
              <w:right w:val="single" w:sz="4" w:space="0" w:color="000000"/>
            </w:tcBorders>
            <w:shd w:val="clear" w:color="auto" w:fill="auto"/>
            <w:vAlign w:val="center"/>
          </w:tcPr>
          <w:p w14:paraId="020974D5"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утайки от физико-химично обработване, различни от упоменатите в 19 02 05</w:t>
            </w:r>
          </w:p>
        </w:tc>
      </w:tr>
      <w:tr w:rsidR="00B06EAD" w14:paraId="590CE98C" w14:textId="77777777">
        <w:trPr>
          <w:trHeight w:val="22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B67D7"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02 11*</w:t>
            </w:r>
          </w:p>
        </w:tc>
        <w:tc>
          <w:tcPr>
            <w:tcW w:w="5320" w:type="dxa"/>
            <w:tcBorders>
              <w:top w:val="single" w:sz="4" w:space="0" w:color="000000"/>
              <w:bottom w:val="single" w:sz="4" w:space="0" w:color="000000"/>
              <w:right w:val="single" w:sz="4" w:space="0" w:color="000000"/>
            </w:tcBorders>
            <w:shd w:val="clear" w:color="auto" w:fill="auto"/>
            <w:vAlign w:val="center"/>
          </w:tcPr>
          <w:p w14:paraId="1FCB65CB"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други отпадъци, съдържащи опасни вещества</w:t>
            </w:r>
          </w:p>
        </w:tc>
      </w:tr>
      <w:tr w:rsidR="00B06EAD" w14:paraId="3BD6B940" w14:textId="77777777">
        <w:trPr>
          <w:trHeight w:val="225"/>
          <w:jc w:val="center"/>
        </w:trPr>
        <w:tc>
          <w:tcPr>
            <w:tcW w:w="1850" w:type="dxa"/>
            <w:tcBorders>
              <w:left w:val="single" w:sz="4" w:space="0" w:color="000000"/>
              <w:bottom w:val="single" w:sz="4" w:space="0" w:color="000000"/>
              <w:right w:val="single" w:sz="4" w:space="0" w:color="000000"/>
            </w:tcBorders>
            <w:shd w:val="clear" w:color="auto" w:fill="auto"/>
            <w:vAlign w:val="center"/>
          </w:tcPr>
          <w:p w14:paraId="5F6880AA"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19 02 99</w:t>
            </w:r>
          </w:p>
        </w:tc>
        <w:tc>
          <w:tcPr>
            <w:tcW w:w="5320" w:type="dxa"/>
            <w:tcBorders>
              <w:bottom w:val="single" w:sz="4" w:space="0" w:color="000000"/>
              <w:right w:val="single" w:sz="4" w:space="0" w:color="000000"/>
            </w:tcBorders>
            <w:shd w:val="clear" w:color="auto" w:fill="auto"/>
            <w:vAlign w:val="center"/>
          </w:tcPr>
          <w:p w14:paraId="471CEDAC"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отпадъци, </w:t>
            </w:r>
            <w:proofErr w:type="spellStart"/>
            <w:r>
              <w:rPr>
                <w:rFonts w:ascii="Times New Roman" w:eastAsia="Times New Roman" w:hAnsi="Times New Roman"/>
                <w:sz w:val="24"/>
                <w:szCs w:val="24"/>
                <w:lang w:eastAsia="bg-BG"/>
              </w:rPr>
              <w:t>неупоменати</w:t>
            </w:r>
            <w:proofErr w:type="spellEnd"/>
            <w:r>
              <w:rPr>
                <w:rFonts w:ascii="Times New Roman" w:eastAsia="Times New Roman" w:hAnsi="Times New Roman"/>
                <w:sz w:val="24"/>
                <w:szCs w:val="24"/>
                <w:lang w:eastAsia="bg-BG"/>
              </w:rPr>
              <w:t xml:space="preserve"> другаде</w:t>
            </w:r>
          </w:p>
        </w:tc>
      </w:tr>
      <w:tr w:rsidR="000339E3" w14:paraId="07A863C8" w14:textId="77777777">
        <w:trPr>
          <w:trHeight w:val="225"/>
          <w:jc w:val="center"/>
        </w:trPr>
        <w:tc>
          <w:tcPr>
            <w:tcW w:w="1850" w:type="dxa"/>
            <w:tcBorders>
              <w:left w:val="single" w:sz="4" w:space="0" w:color="000000"/>
              <w:bottom w:val="single" w:sz="4" w:space="0" w:color="000000"/>
              <w:right w:val="single" w:sz="4" w:space="0" w:color="000000"/>
            </w:tcBorders>
            <w:shd w:val="clear" w:color="auto" w:fill="auto"/>
            <w:vAlign w:val="center"/>
          </w:tcPr>
          <w:p w14:paraId="2AB30C01" w14:textId="7D57F73C" w:rsidR="000339E3" w:rsidRDefault="000339E3">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12 11*</w:t>
            </w:r>
          </w:p>
        </w:tc>
        <w:tc>
          <w:tcPr>
            <w:tcW w:w="5320" w:type="dxa"/>
            <w:tcBorders>
              <w:bottom w:val="single" w:sz="4" w:space="0" w:color="000000"/>
              <w:right w:val="single" w:sz="4" w:space="0" w:color="000000"/>
            </w:tcBorders>
            <w:shd w:val="clear" w:color="auto" w:fill="auto"/>
            <w:vAlign w:val="center"/>
          </w:tcPr>
          <w:p w14:paraId="31E05EFA" w14:textId="7B4B5C97" w:rsidR="000339E3" w:rsidRPr="000339E3" w:rsidRDefault="000339E3">
            <w:pPr>
              <w:widowControl w:val="0"/>
              <w:spacing w:after="0" w:line="240" w:lineRule="auto"/>
              <w:ind w:right="339"/>
              <w:rPr>
                <w:rFonts w:ascii="Times New Roman" w:eastAsia="Times New Roman" w:hAnsi="Times New Roman" w:cs="Times New Roman"/>
                <w:sz w:val="24"/>
                <w:szCs w:val="24"/>
                <w:lang w:eastAsia="bg-BG"/>
              </w:rPr>
            </w:pPr>
            <w:r w:rsidRPr="000339E3">
              <w:rPr>
                <w:rFonts w:ascii="Times New Roman" w:hAnsi="Times New Roman" w:cs="Times New Roman"/>
                <w:color w:val="212529"/>
                <w:sz w:val="24"/>
                <w:szCs w:val="24"/>
                <w:shd w:val="clear" w:color="auto" w:fill="FFFFFF"/>
              </w:rPr>
              <w:t>Други отпадъци (включително смеси от материали) от механично третиране на отпадъци, съдържащи опасни вещества</w:t>
            </w:r>
          </w:p>
        </w:tc>
      </w:tr>
      <w:tr w:rsidR="00B06EAD" w14:paraId="62446204" w14:textId="77777777">
        <w:trPr>
          <w:trHeight w:val="450"/>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96F4"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19 12 12</w:t>
            </w:r>
          </w:p>
        </w:tc>
        <w:tc>
          <w:tcPr>
            <w:tcW w:w="5320" w:type="dxa"/>
            <w:tcBorders>
              <w:top w:val="single" w:sz="4" w:space="0" w:color="000000"/>
              <w:bottom w:val="single" w:sz="4" w:space="0" w:color="000000"/>
              <w:right w:val="single" w:sz="4" w:space="0" w:color="000000"/>
            </w:tcBorders>
            <w:shd w:val="clear" w:color="auto" w:fill="auto"/>
            <w:vAlign w:val="center"/>
          </w:tcPr>
          <w:p w14:paraId="4DE4EC27"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други отпадъци (включително смеси от материали) от механично третиране на отпадъци, различни от упоменатите в 19 12 11</w:t>
            </w:r>
          </w:p>
        </w:tc>
      </w:tr>
      <w:tr w:rsidR="00B06EAD" w14:paraId="6B68D145" w14:textId="77777777">
        <w:trPr>
          <w:trHeight w:val="22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12916"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20 01 21*</w:t>
            </w:r>
          </w:p>
        </w:tc>
        <w:tc>
          <w:tcPr>
            <w:tcW w:w="5320" w:type="dxa"/>
            <w:tcBorders>
              <w:top w:val="single" w:sz="4" w:space="0" w:color="000000"/>
              <w:bottom w:val="single" w:sz="4" w:space="0" w:color="000000"/>
              <w:right w:val="single" w:sz="4" w:space="0" w:color="000000"/>
            </w:tcBorders>
            <w:shd w:val="clear" w:color="auto" w:fill="auto"/>
            <w:vAlign w:val="center"/>
          </w:tcPr>
          <w:p w14:paraId="344237F0"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флуоресцентни тръби и други отпадъци, съдържащи живак</w:t>
            </w:r>
          </w:p>
        </w:tc>
      </w:tr>
      <w:tr w:rsidR="00B06EAD" w14:paraId="33419DEE" w14:textId="77777777">
        <w:trPr>
          <w:trHeight w:val="225"/>
          <w:jc w:val="center"/>
        </w:trPr>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1312A"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20 03 01</w:t>
            </w:r>
          </w:p>
        </w:tc>
        <w:tc>
          <w:tcPr>
            <w:tcW w:w="5320" w:type="dxa"/>
            <w:tcBorders>
              <w:top w:val="single" w:sz="4" w:space="0" w:color="000000"/>
              <w:bottom w:val="single" w:sz="4" w:space="0" w:color="000000"/>
              <w:right w:val="single" w:sz="4" w:space="0" w:color="000000"/>
            </w:tcBorders>
            <w:shd w:val="clear" w:color="auto" w:fill="auto"/>
            <w:vAlign w:val="center"/>
          </w:tcPr>
          <w:p w14:paraId="0D37DDB8" w14:textId="77777777" w:rsidR="00B06EAD" w:rsidRDefault="00D20EBD">
            <w:pPr>
              <w:widowControl w:val="0"/>
              <w:spacing w:after="0" w:line="240" w:lineRule="auto"/>
              <w:ind w:right="339"/>
              <w:rPr>
                <w:rFonts w:ascii="Times New Roman" w:eastAsia="Times New Roman" w:hAnsi="Times New Roman"/>
                <w:sz w:val="24"/>
                <w:szCs w:val="24"/>
                <w:lang w:eastAsia="bg-BG"/>
              </w:rPr>
            </w:pPr>
            <w:r>
              <w:rPr>
                <w:rFonts w:ascii="Times New Roman" w:eastAsia="Times New Roman" w:hAnsi="Times New Roman"/>
                <w:sz w:val="24"/>
                <w:szCs w:val="24"/>
                <w:lang w:eastAsia="bg-BG"/>
              </w:rPr>
              <w:t>смесени битови отпадъци</w:t>
            </w:r>
          </w:p>
        </w:tc>
      </w:tr>
    </w:tbl>
    <w:p w14:paraId="7754953D" w14:textId="77777777" w:rsidR="00B06EAD" w:rsidRDefault="00D20EBD">
      <w:pPr>
        <w:spacing w:before="24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Всички производствени отпадъци ще се събират разделно и ще се предават на лицензирани фирми за обезвреждане.</w:t>
      </w:r>
    </w:p>
    <w:p w14:paraId="02EE46F1" w14:textId="77777777" w:rsidR="00B06EAD" w:rsidRDefault="00D20EBD">
      <w:pPr>
        <w:spacing w:before="120" w:after="0" w:line="288"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Битовите отпадъци от ежедневната дейност на служителите на дружеството с код 20 03 01 и наименование – смесени битови отпадъци, ще се събират в контейнер, обслужван от фирмата по сметосъбиране и сметоизвозване, чрез сключване на договор.</w:t>
      </w:r>
    </w:p>
    <w:p w14:paraId="0A242FBF" w14:textId="77777777" w:rsidR="00B06EAD" w:rsidRDefault="00D20EBD">
      <w:pPr>
        <w:spacing w:before="240"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9. Отпадъчни води:</w:t>
      </w:r>
    </w:p>
    <w:p w14:paraId="29485B9A"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i/>
          <w:iCs/>
          <w:sz w:val="24"/>
          <w:szCs w:val="24"/>
          <w:lang w:eastAsia="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w:t>
      </w:r>
      <w:proofErr w:type="spellStart"/>
      <w:r>
        <w:rPr>
          <w:rFonts w:ascii="Times New Roman" w:eastAsia="Times New Roman" w:hAnsi="Times New Roman" w:cs="Times New Roman"/>
          <w:i/>
          <w:iCs/>
          <w:sz w:val="24"/>
          <w:szCs w:val="24"/>
          <w:lang w:eastAsia="bg-BG"/>
        </w:rPr>
        <w:t>водоплътна</w:t>
      </w:r>
      <w:proofErr w:type="spellEnd"/>
      <w:r>
        <w:rPr>
          <w:rFonts w:ascii="Times New Roman" w:eastAsia="Times New Roman" w:hAnsi="Times New Roman" w:cs="Times New Roman"/>
          <w:i/>
          <w:iCs/>
          <w:sz w:val="24"/>
          <w:szCs w:val="24"/>
          <w:lang w:eastAsia="bg-BG"/>
        </w:rPr>
        <w:t xml:space="preserve"> </w:t>
      </w:r>
      <w:proofErr w:type="spellStart"/>
      <w:r>
        <w:rPr>
          <w:rFonts w:ascii="Times New Roman" w:eastAsia="Times New Roman" w:hAnsi="Times New Roman" w:cs="Times New Roman"/>
          <w:i/>
          <w:iCs/>
          <w:sz w:val="24"/>
          <w:szCs w:val="24"/>
          <w:lang w:eastAsia="bg-BG"/>
        </w:rPr>
        <w:t>изгребна</w:t>
      </w:r>
      <w:proofErr w:type="spellEnd"/>
      <w:r>
        <w:rPr>
          <w:rFonts w:ascii="Times New Roman" w:eastAsia="Times New Roman" w:hAnsi="Times New Roman" w:cs="Times New Roman"/>
          <w:i/>
          <w:iCs/>
          <w:sz w:val="24"/>
          <w:szCs w:val="24"/>
          <w:lang w:eastAsia="bg-BG"/>
        </w:rPr>
        <w:t xml:space="preserve"> яма и др.)</w:t>
      </w:r>
    </w:p>
    <w:p w14:paraId="57EEE9AB" w14:textId="77777777" w:rsidR="00B06EAD" w:rsidRDefault="00D20EBD">
      <w:pPr>
        <w:spacing w:before="120" w:after="0" w:line="288" w:lineRule="auto"/>
        <w:jc w:val="both"/>
        <w:rPr>
          <w:rFonts w:ascii="Times New Roman" w:eastAsia="Times New Roman" w:hAnsi="Times New Roman" w:cs="Times New Roman"/>
          <w:bCs/>
          <w:iCs/>
          <w:sz w:val="24"/>
          <w:szCs w:val="24"/>
          <w:lang w:eastAsia="bg-BG"/>
        </w:rPr>
      </w:pPr>
      <w:r>
        <w:rPr>
          <w:rFonts w:ascii="Times New Roman" w:eastAsia="Times New Roman" w:hAnsi="Times New Roman" w:cs="Times New Roman"/>
          <w:bCs/>
          <w:iCs/>
          <w:sz w:val="24"/>
          <w:szCs w:val="24"/>
          <w:lang w:eastAsia="bg-BG"/>
        </w:rPr>
        <w:t xml:space="preserve">Отпадъчните битово-фекални и дъждовни води ще се </w:t>
      </w:r>
      <w:proofErr w:type="spellStart"/>
      <w:r>
        <w:rPr>
          <w:rFonts w:ascii="Times New Roman" w:eastAsia="Times New Roman" w:hAnsi="Times New Roman" w:cs="Times New Roman"/>
          <w:bCs/>
          <w:iCs/>
          <w:sz w:val="24"/>
          <w:szCs w:val="24"/>
          <w:lang w:eastAsia="bg-BG"/>
        </w:rPr>
        <w:t>заустват</w:t>
      </w:r>
      <w:proofErr w:type="spellEnd"/>
      <w:r>
        <w:rPr>
          <w:rFonts w:ascii="Times New Roman" w:eastAsia="Times New Roman" w:hAnsi="Times New Roman" w:cs="Times New Roman"/>
          <w:bCs/>
          <w:iCs/>
          <w:sz w:val="24"/>
          <w:szCs w:val="24"/>
          <w:lang w:eastAsia="bg-BG"/>
        </w:rPr>
        <w:t xml:space="preserve"> в съществуващата градска канализация, експлоатирана от „ВиК“ ЕООД – Пловдив. От дейността на обекта не се формират производствени отпадъчни води. Водата от охлаждането на дестилаторите се използва водооборотно, като за целта се изграждат водоохладителни резервоари.</w:t>
      </w:r>
    </w:p>
    <w:p w14:paraId="038721B3" w14:textId="77777777" w:rsidR="00B06EAD" w:rsidRDefault="00D20EBD">
      <w:pPr>
        <w:spacing w:before="240"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10. Опасни химични вещества, които се очаква да бъдат налични на площадката на предприятието/съоръжението:</w:t>
      </w:r>
    </w:p>
    <w:p w14:paraId="72248047" w14:textId="77777777" w:rsidR="00B06EAD" w:rsidRDefault="00D20EBD">
      <w:pPr>
        <w:spacing w:after="0" w:line="240" w:lineRule="auto"/>
        <w:ind w:right="339" w:firstLine="567"/>
        <w:jc w:val="both"/>
        <w:rPr>
          <w:rFonts w:ascii="Times New Roman" w:eastAsia="Times New Roman" w:hAnsi="Times New Roman" w:cs="Times New Roman"/>
          <w:i/>
          <w:iCs/>
          <w:sz w:val="24"/>
          <w:szCs w:val="24"/>
          <w:lang w:eastAsia="bg-BG"/>
        </w:rPr>
      </w:pPr>
      <w:r>
        <w:rPr>
          <w:rFonts w:ascii="Times New Roman" w:eastAsia="Times New Roman" w:hAnsi="Times New Roman" w:cs="Times New Roman"/>
          <w:i/>
          <w:iCs/>
          <w:sz w:val="24"/>
          <w:szCs w:val="24"/>
          <w:lang w:eastAsia="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14:paraId="7D5A2318" w14:textId="77777777" w:rsidR="00B06EAD" w:rsidRDefault="00D20EBD">
      <w:pPr>
        <w:spacing w:before="120" w:after="0" w:line="288" w:lineRule="auto"/>
        <w:jc w:val="both"/>
        <w:rPr>
          <w:rStyle w:val="a4"/>
          <w:rFonts w:ascii="Times New Roman" w:hAnsi="Times New Roman" w:cs="Times New Roman"/>
          <w:b w:val="0"/>
          <w:iCs/>
          <w:sz w:val="24"/>
          <w:szCs w:val="24"/>
        </w:rPr>
      </w:pPr>
      <w:r>
        <w:rPr>
          <w:rFonts w:ascii="Times New Roman" w:eastAsia="Times New Roman" w:hAnsi="Times New Roman" w:cs="Times New Roman"/>
          <w:iCs/>
          <w:sz w:val="24"/>
          <w:szCs w:val="24"/>
          <w:lang w:eastAsia="bg-BG"/>
        </w:rPr>
        <w:t>Да, налични опасни отпадъци на площадката. Описани са в приложение към настоящото уведомление, съгласно формата на Приложение № 1 към чл. 5, ал. 2 на Наредбата за предотвратяване на големи аварии и ограничаване на последствията от тях.</w:t>
      </w:r>
    </w:p>
    <w:p w14:paraId="060140F0" w14:textId="77777777" w:rsidR="00B06EAD" w:rsidRDefault="00D20EBD">
      <w:pPr>
        <w:spacing w:before="48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І. Моля да ни информирате за необходимите действия, които трябва да предприемем, по реда на глава шеста от ЗООС.</w:t>
      </w:r>
    </w:p>
    <w:p w14:paraId="7924FC58" w14:textId="77777777" w:rsidR="00B06EAD" w:rsidRDefault="00D20EBD">
      <w:pPr>
        <w:spacing w:after="0" w:line="240" w:lineRule="auto"/>
        <w:jc w:val="both"/>
        <w:rPr>
          <w:rFonts w:ascii="Times New Roman" w:eastAsia="Times New Roman" w:hAnsi="Times New Roman" w:cs="Times New Roman"/>
          <w:sz w:val="24"/>
          <w:szCs w:val="24"/>
          <w:lang w:val="en-US" w:eastAsia="bg-BG"/>
        </w:rPr>
      </w:pPr>
      <w:r>
        <w:rPr>
          <w:rFonts w:ascii="Wingdings 2" w:eastAsia="Times New Roman" w:hAnsi="Wingdings 2" w:cs="Times New Roman"/>
          <w:lang w:eastAsia="bg-BG"/>
        </w:rPr>
        <w:t></w:t>
      </w:r>
      <w:r>
        <w:rPr>
          <w:rFonts w:ascii="Wingdings 2" w:eastAsia="Times New Roman" w:hAnsi="Wingdings 2" w:cs="Times New Roman"/>
          <w:lang w:val="en-US" w:eastAsia="bg-BG"/>
        </w:rPr>
        <w:t></w:t>
      </w:r>
      <w:r>
        <w:rPr>
          <w:rFonts w:ascii="Times New Roman" w:eastAsia="Times New Roman" w:hAnsi="Times New Roman" w:cs="Times New Roman"/>
          <w:sz w:val="24"/>
          <w:szCs w:val="24"/>
          <w:lang w:eastAsia="bg-BG"/>
        </w:rPr>
        <w:t>Моля на основание чл. 93, ал. 9, т. 1 от ЗООС да се проведе задължителна ОВОС, без да се извършва преценка.</w:t>
      </w:r>
    </w:p>
    <w:p w14:paraId="1AF1AEE9"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Pr>
          <w:rFonts w:ascii="Wingdings 2" w:eastAsia="Times New Roman" w:hAnsi="Wingdings 2" w:cs="Times New Roman"/>
          <w:lang w:val="en-US" w:eastAsia="bg-BG"/>
        </w:rPr>
        <w:t></w:t>
      </w:r>
      <w:r>
        <w:rPr>
          <w:rFonts w:ascii="Times New Roman" w:eastAsia="Times New Roman" w:hAnsi="Times New Roman" w:cs="Times New Roman"/>
          <w:sz w:val="24"/>
          <w:szCs w:val="24"/>
          <w:lang w:eastAsia="bg-BG"/>
        </w:rPr>
        <w:t>Моля, на основание чл. 94, ал. 1, т. 9 от ЗООС да се проведе процедура по ОВОС и/или процедурата по чл. 109, ал. 1 или 2 или по чл. 117, ал. 1 или 2 от ЗООС.</w:t>
      </w:r>
    </w:p>
    <w:p w14:paraId="44CFECB2" w14:textId="77777777" w:rsidR="00B06EAD" w:rsidRDefault="00D20EBD">
      <w:pPr>
        <w:spacing w:before="24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ІІ. Друга информация (не е задължително за попълване)</w:t>
      </w:r>
    </w:p>
    <w:p w14:paraId="77B85083"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Pr>
          <w:rFonts w:ascii="Wingdings 2" w:eastAsia="Times New Roman" w:hAnsi="Wingdings 2" w:cs="Times New Roman"/>
          <w:lang w:val="en-US" w:eastAsia="bg-BG"/>
        </w:rPr>
        <w:t></w:t>
      </w:r>
      <w:r>
        <w:rPr>
          <w:rFonts w:ascii="Arial Narrow" w:hAnsi="Arial Narrow" w:cs="Arial"/>
          <w:sz w:val="24"/>
          <w:szCs w:val="24"/>
          <w:lang w:val="en-US"/>
        </w:rPr>
        <w:t xml:space="preserve"> </w:t>
      </w:r>
      <w:r>
        <w:rPr>
          <w:rFonts w:ascii="Times New Roman" w:eastAsia="Times New Roman" w:hAnsi="Times New Roman" w:cs="Times New Roman"/>
          <w:sz w:val="24"/>
          <w:szCs w:val="24"/>
          <w:lang w:eastAsia="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74F5A859" w14:textId="77777777" w:rsidR="00B06EAD" w:rsidRDefault="00D20EBD">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p>
    <w:p w14:paraId="0F485ACB" w14:textId="77777777" w:rsidR="00B06EAD" w:rsidRDefault="00D20EBD">
      <w:pPr>
        <w:spacing w:before="24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Прилагам:</w:t>
      </w:r>
    </w:p>
    <w:p w14:paraId="65CFC5FB"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 чл. 95, ал. 1 от ЗООС.</w:t>
      </w:r>
    </w:p>
    <w:p w14:paraId="6EEB1CC6"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4CBBDC07"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 Други документи по преценка на уведомителя:</w:t>
      </w:r>
    </w:p>
    <w:p w14:paraId="5DF4DB5F" w14:textId="08FCA9C0"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3.1. </w:t>
      </w:r>
      <w:r w:rsidR="00E95C8C">
        <w:rPr>
          <w:rFonts w:ascii="Times New Roman" w:eastAsia="Times New Roman" w:hAnsi="Times New Roman" w:cs="Times New Roman"/>
          <w:sz w:val="24"/>
          <w:szCs w:val="24"/>
          <w:lang w:eastAsia="bg-BG"/>
        </w:rPr>
        <w:t>Нотариален Акт за собственост – копие Вярно с Оригинала</w:t>
      </w:r>
    </w:p>
    <w:p w14:paraId="1590BBC2" w14:textId="0F6D4390"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3.2. </w:t>
      </w:r>
      <w:r w:rsidR="00E95C8C">
        <w:rPr>
          <w:rFonts w:ascii="Times New Roman" w:eastAsia="Times New Roman" w:hAnsi="Times New Roman" w:cs="Times New Roman"/>
          <w:sz w:val="24"/>
          <w:szCs w:val="24"/>
          <w:lang w:eastAsia="bg-BG"/>
        </w:rPr>
        <w:t>Скица на имота – копие Вярно с оригинала</w:t>
      </w:r>
    </w:p>
    <w:p w14:paraId="6C7FB8B2"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 Електронен носител - 1 бр.</w:t>
      </w:r>
    </w:p>
    <w:p w14:paraId="7ADD7FD8"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5. </w:t>
      </w:r>
      <w:r>
        <w:rPr>
          <w:rFonts w:ascii="Times New Roman" w:eastAsia="Times New Roman" w:hAnsi="Times New Roman" w:cs="Times New Roman"/>
          <w:sz w:val="24"/>
          <w:szCs w:val="24"/>
          <w:lang w:eastAsia="bg-BG"/>
        </w:rPr>
        <w:t> Желая писмото за определяне на необходимите действия да бъде издадено в електронна форма и изпратено на посочения адрес на електронна поща.</w:t>
      </w:r>
    </w:p>
    <w:p w14:paraId="1E7E72FD" w14:textId="77777777" w:rsidR="00B06EAD" w:rsidRDefault="00D20EB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6. </w:t>
      </w:r>
      <w:r>
        <w:rPr>
          <w:rFonts w:ascii="Times New Roman" w:eastAsia="Times New Roman" w:hAnsi="Times New Roman" w:cs="Times New Roman"/>
          <w:sz w:val="24"/>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14:paraId="740E0E93" w14:textId="77777777" w:rsidR="00B06EAD" w:rsidRPr="00E95C8C" w:rsidRDefault="00D20EBD">
      <w:pPr>
        <w:spacing w:after="0" w:line="240" w:lineRule="auto"/>
        <w:jc w:val="both"/>
        <w:rPr>
          <w:rFonts w:ascii="Times New Roman" w:eastAsia="Times New Roman" w:hAnsi="Times New Roman" w:cs="Times New Roman"/>
          <w:b/>
          <w:bCs/>
          <w:sz w:val="24"/>
          <w:szCs w:val="24"/>
          <w:lang w:eastAsia="bg-BG"/>
        </w:rPr>
      </w:pPr>
      <w:r w:rsidRPr="00E95C8C">
        <w:rPr>
          <w:rFonts w:ascii="Times New Roman" w:eastAsia="Times New Roman" w:hAnsi="Times New Roman" w:cs="Times New Roman"/>
          <w:b/>
          <w:bCs/>
          <w:sz w:val="24"/>
          <w:szCs w:val="24"/>
          <w:lang w:eastAsia="bg-BG"/>
        </w:rPr>
        <w:t>7. </w:t>
      </w:r>
      <w:r w:rsidRPr="00E95C8C">
        <w:rPr>
          <w:rFonts w:ascii="Times New Roman" w:eastAsia="Times New Roman" w:hAnsi="Times New Roman" w:cs="Times New Roman"/>
          <w:b/>
          <w:bCs/>
          <w:sz w:val="24"/>
          <w:szCs w:val="24"/>
          <w:lang w:eastAsia="bg-BG"/>
        </w:rPr>
        <w:t> Желая писмото за определяне на необходимите действия да бъде получено чрез лицензиран пощенски оператор.</w:t>
      </w:r>
    </w:p>
    <w:p w14:paraId="5A522638" w14:textId="33078CED" w:rsidR="00B06EAD" w:rsidRDefault="00D20EBD">
      <w:pPr>
        <w:tabs>
          <w:tab w:val="left" w:pos="5103"/>
        </w:tabs>
        <w:spacing w:before="96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Дата: </w:t>
      </w:r>
      <w:r w:rsidR="00E95C8C">
        <w:rPr>
          <w:rFonts w:ascii="Times New Roman" w:eastAsia="Times New Roman" w:hAnsi="Times New Roman" w:cs="Times New Roman"/>
          <w:sz w:val="24"/>
          <w:szCs w:val="24"/>
          <w:lang w:eastAsia="bg-BG"/>
        </w:rPr>
        <w:t>18.10.</w:t>
      </w:r>
      <w:r>
        <w:rPr>
          <w:rFonts w:ascii="Times New Roman" w:eastAsia="Times New Roman" w:hAnsi="Times New Roman" w:cs="Times New Roman"/>
          <w:sz w:val="24"/>
          <w:szCs w:val="24"/>
          <w:lang w:eastAsia="bg-BG"/>
        </w:rPr>
        <w:t>2021 год.</w:t>
      </w:r>
      <w:r>
        <w:rPr>
          <w:rFonts w:ascii="Times New Roman" w:eastAsia="Times New Roman" w:hAnsi="Times New Roman" w:cs="Times New Roman"/>
          <w:sz w:val="24"/>
          <w:szCs w:val="24"/>
          <w:lang w:eastAsia="bg-BG"/>
        </w:rPr>
        <w:tab/>
        <w:t>Уведомител: …………………..</w:t>
      </w:r>
    </w:p>
    <w:p w14:paraId="1C912643" w14:textId="77777777" w:rsidR="00B06EAD" w:rsidRDefault="00D20EBD">
      <w:pPr>
        <w:tabs>
          <w:tab w:val="left" w:pos="6804"/>
          <w:tab w:val="right" w:pos="9978"/>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bg-BG"/>
        </w:rPr>
        <w:tab/>
      </w:r>
      <w:r>
        <w:rPr>
          <w:rFonts w:ascii="Times New Roman" w:hAnsi="Times New Roman" w:cs="Times New Roman"/>
          <w:i/>
          <w:iCs/>
          <w:color w:val="333333"/>
          <w:sz w:val="24"/>
          <w:szCs w:val="24"/>
        </w:rPr>
        <w:t>(подпис)</w:t>
      </w:r>
    </w:p>
    <w:sectPr w:rsidR="00B06EAD">
      <w:pgSz w:w="11906" w:h="16838"/>
      <w:pgMar w:top="1247" w:right="1134" w:bottom="1247" w:left="1418"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45922"/>
    <w:multiLevelType w:val="multilevel"/>
    <w:tmpl w:val="54C68A4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2FDA7EC6"/>
    <w:multiLevelType w:val="multilevel"/>
    <w:tmpl w:val="A49096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67700B8"/>
    <w:multiLevelType w:val="multilevel"/>
    <w:tmpl w:val="7276AD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2"/>
  </w:compat>
  <w:rsids>
    <w:rsidRoot w:val="00B06EAD"/>
    <w:rsid w:val="000339E3"/>
    <w:rsid w:val="00302C29"/>
    <w:rsid w:val="003107B6"/>
    <w:rsid w:val="008A7C69"/>
    <w:rsid w:val="00B06EAD"/>
    <w:rsid w:val="00D1783C"/>
    <w:rsid w:val="00D20EBD"/>
    <w:rsid w:val="00E95C8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23FDF"/>
  <w15:docId w15:val="{8DC4C7B3-DA6D-4B9D-97AB-1B17D015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EC3"/>
    <w:pPr>
      <w:spacing w:after="200" w:line="276" w:lineRule="auto"/>
    </w:pPr>
  </w:style>
  <w:style w:type="paragraph" w:styleId="3">
    <w:name w:val="heading 3"/>
    <w:basedOn w:val="a"/>
    <w:link w:val="30"/>
    <w:uiPriority w:val="9"/>
    <w:qFormat/>
    <w:rsid w:val="006634AF"/>
    <w:pPr>
      <w:spacing w:beforeAutospacing="1"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ръзка към Интернет"/>
    <w:basedOn w:val="a0"/>
    <w:uiPriority w:val="99"/>
    <w:semiHidden/>
    <w:unhideWhenUsed/>
    <w:rsid w:val="006909BC"/>
    <w:rPr>
      <w:color w:val="0000FF"/>
      <w:u w:val="single"/>
    </w:rPr>
  </w:style>
  <w:style w:type="character" w:styleId="a4">
    <w:name w:val="Strong"/>
    <w:basedOn w:val="a0"/>
    <w:uiPriority w:val="22"/>
    <w:qFormat/>
    <w:rsid w:val="00B567F8"/>
    <w:rPr>
      <w:b/>
      <w:bCs/>
    </w:rPr>
  </w:style>
  <w:style w:type="character" w:customStyle="1" w:styleId="a5">
    <w:name w:val="Изнесен текст Знак"/>
    <w:basedOn w:val="a0"/>
    <w:link w:val="a6"/>
    <w:uiPriority w:val="99"/>
    <w:semiHidden/>
    <w:qFormat/>
    <w:rsid w:val="00642DA0"/>
    <w:rPr>
      <w:rFonts w:ascii="Tahoma" w:hAnsi="Tahoma" w:cs="Tahoma"/>
      <w:sz w:val="16"/>
      <w:szCs w:val="16"/>
    </w:rPr>
  </w:style>
  <w:style w:type="character" w:customStyle="1" w:styleId="st">
    <w:name w:val="st"/>
    <w:basedOn w:val="a0"/>
    <w:qFormat/>
    <w:rsid w:val="0051420E"/>
  </w:style>
  <w:style w:type="character" w:customStyle="1" w:styleId="2">
    <w:name w:val="Основен текст (2)_"/>
    <w:basedOn w:val="a0"/>
    <w:link w:val="20"/>
    <w:qFormat/>
    <w:rsid w:val="001926FC"/>
    <w:rPr>
      <w:b/>
      <w:bCs/>
      <w:sz w:val="26"/>
      <w:szCs w:val="26"/>
      <w:shd w:val="clear" w:color="auto" w:fill="FFFFFF"/>
    </w:rPr>
  </w:style>
  <w:style w:type="character" w:styleId="a7">
    <w:name w:val="annotation reference"/>
    <w:basedOn w:val="a0"/>
    <w:uiPriority w:val="99"/>
    <w:semiHidden/>
    <w:unhideWhenUsed/>
    <w:qFormat/>
    <w:rsid w:val="00986C25"/>
    <w:rPr>
      <w:sz w:val="16"/>
      <w:szCs w:val="16"/>
    </w:rPr>
  </w:style>
  <w:style w:type="character" w:customStyle="1" w:styleId="a8">
    <w:name w:val="Текст на коментар Знак"/>
    <w:basedOn w:val="a0"/>
    <w:link w:val="a9"/>
    <w:uiPriority w:val="99"/>
    <w:semiHidden/>
    <w:qFormat/>
    <w:rsid w:val="00986C25"/>
    <w:rPr>
      <w:sz w:val="20"/>
      <w:szCs w:val="20"/>
    </w:rPr>
  </w:style>
  <w:style w:type="character" w:customStyle="1" w:styleId="aa">
    <w:name w:val="Предмет на коментар Знак"/>
    <w:basedOn w:val="a8"/>
    <w:link w:val="ab"/>
    <w:uiPriority w:val="99"/>
    <w:semiHidden/>
    <w:qFormat/>
    <w:rsid w:val="00986C25"/>
    <w:rPr>
      <w:b/>
      <w:bCs/>
      <w:sz w:val="20"/>
      <w:szCs w:val="20"/>
    </w:rPr>
  </w:style>
  <w:style w:type="character" w:customStyle="1" w:styleId="FontStyle12">
    <w:name w:val="Font Style12"/>
    <w:basedOn w:val="a0"/>
    <w:uiPriority w:val="99"/>
    <w:qFormat/>
    <w:rsid w:val="005F28A3"/>
    <w:rPr>
      <w:rFonts w:ascii="Arial" w:hAnsi="Arial" w:cs="Arial"/>
      <w:i/>
      <w:iCs/>
      <w:sz w:val="20"/>
      <w:szCs w:val="20"/>
    </w:rPr>
  </w:style>
  <w:style w:type="character" w:customStyle="1" w:styleId="FontStyle13">
    <w:name w:val="Font Style13"/>
    <w:basedOn w:val="a0"/>
    <w:uiPriority w:val="99"/>
    <w:qFormat/>
    <w:rsid w:val="005F28A3"/>
    <w:rPr>
      <w:rFonts w:ascii="Arial" w:hAnsi="Arial" w:cs="Arial"/>
      <w:sz w:val="20"/>
      <w:szCs w:val="20"/>
    </w:rPr>
  </w:style>
  <w:style w:type="character" w:customStyle="1" w:styleId="30">
    <w:name w:val="Заглавие 3 Знак"/>
    <w:basedOn w:val="a0"/>
    <w:link w:val="3"/>
    <w:uiPriority w:val="9"/>
    <w:qFormat/>
    <w:rsid w:val="006634AF"/>
    <w:rPr>
      <w:rFonts w:ascii="Times New Roman" w:eastAsia="Times New Roman" w:hAnsi="Times New Roman" w:cs="Times New Roman"/>
      <w:b/>
      <w:bCs/>
      <w:sz w:val="27"/>
      <w:szCs w:val="27"/>
      <w:lang w:val="en-US"/>
    </w:rPr>
  </w:style>
  <w:style w:type="character" w:customStyle="1" w:styleId="mw-headline">
    <w:name w:val="mw-headline"/>
    <w:basedOn w:val="a0"/>
    <w:qFormat/>
    <w:rsid w:val="006634AF"/>
  </w:style>
  <w:style w:type="character" w:customStyle="1" w:styleId="ac">
    <w:name w:val="Горен колонтитул Знак"/>
    <w:basedOn w:val="a0"/>
    <w:link w:val="ad"/>
    <w:uiPriority w:val="99"/>
    <w:qFormat/>
    <w:rsid w:val="00F24DBB"/>
  </w:style>
  <w:style w:type="character" w:customStyle="1" w:styleId="ae">
    <w:name w:val="Долен колонтитул Знак"/>
    <w:basedOn w:val="a0"/>
    <w:link w:val="af"/>
    <w:uiPriority w:val="99"/>
    <w:qFormat/>
    <w:rsid w:val="00F24DBB"/>
  </w:style>
  <w:style w:type="paragraph" w:styleId="af0">
    <w:name w:val="Title"/>
    <w:basedOn w:val="a"/>
    <w:next w:val="af1"/>
    <w:qFormat/>
    <w:pPr>
      <w:keepNext/>
      <w:spacing w:before="240" w:after="120"/>
    </w:pPr>
    <w:rPr>
      <w:rFonts w:ascii="Liberation Sans" w:eastAsia="Microsoft YaHei" w:hAnsi="Liberation Sans" w:cs="Lucida Sans"/>
      <w:sz w:val="28"/>
      <w:szCs w:val="28"/>
    </w:rPr>
  </w:style>
  <w:style w:type="paragraph" w:styleId="af1">
    <w:name w:val="Body Text"/>
    <w:basedOn w:val="a"/>
    <w:pPr>
      <w:spacing w:after="140"/>
    </w:pPr>
  </w:style>
  <w:style w:type="paragraph" w:styleId="af2">
    <w:name w:val="List"/>
    <w:basedOn w:val="af1"/>
    <w:rPr>
      <w:rFonts w:cs="Lucida Sans"/>
    </w:rPr>
  </w:style>
  <w:style w:type="paragraph" w:styleId="af3">
    <w:name w:val="caption"/>
    <w:basedOn w:val="a"/>
    <w:qFormat/>
    <w:pPr>
      <w:suppressLineNumbers/>
      <w:spacing w:before="120" w:after="120"/>
    </w:pPr>
    <w:rPr>
      <w:rFonts w:cs="Lucida Sans"/>
      <w:i/>
      <w:iCs/>
      <w:sz w:val="24"/>
      <w:szCs w:val="24"/>
    </w:rPr>
  </w:style>
  <w:style w:type="paragraph" w:customStyle="1" w:styleId="af4">
    <w:name w:val="Указател"/>
    <w:basedOn w:val="a"/>
    <w:qFormat/>
    <w:pPr>
      <w:suppressLineNumbers/>
    </w:pPr>
    <w:rPr>
      <w:rFonts w:cs="Lucida Sans"/>
    </w:rPr>
  </w:style>
  <w:style w:type="paragraph" w:styleId="af5">
    <w:name w:val="List Paragraph"/>
    <w:basedOn w:val="a"/>
    <w:uiPriority w:val="34"/>
    <w:qFormat/>
    <w:rsid w:val="003D4DB8"/>
    <w:pPr>
      <w:ind w:left="720"/>
      <w:contextualSpacing/>
    </w:pPr>
  </w:style>
  <w:style w:type="paragraph" w:styleId="a6">
    <w:name w:val="Balloon Text"/>
    <w:basedOn w:val="a"/>
    <w:link w:val="a5"/>
    <w:uiPriority w:val="99"/>
    <w:semiHidden/>
    <w:unhideWhenUsed/>
    <w:qFormat/>
    <w:rsid w:val="00642DA0"/>
    <w:pPr>
      <w:spacing w:after="0" w:line="240" w:lineRule="auto"/>
    </w:pPr>
    <w:rPr>
      <w:rFonts w:ascii="Tahoma" w:hAnsi="Tahoma" w:cs="Tahoma"/>
      <w:sz w:val="16"/>
      <w:szCs w:val="16"/>
    </w:rPr>
  </w:style>
  <w:style w:type="paragraph" w:customStyle="1" w:styleId="20">
    <w:name w:val="Основен текст (2)"/>
    <w:basedOn w:val="a"/>
    <w:link w:val="2"/>
    <w:qFormat/>
    <w:rsid w:val="001926FC"/>
    <w:pPr>
      <w:widowControl w:val="0"/>
      <w:shd w:val="clear" w:color="auto" w:fill="FFFFFF"/>
      <w:spacing w:after="0" w:line="427" w:lineRule="exact"/>
      <w:ind w:hanging="420"/>
    </w:pPr>
    <w:rPr>
      <w:b/>
      <w:bCs/>
      <w:sz w:val="26"/>
      <w:szCs w:val="26"/>
    </w:rPr>
  </w:style>
  <w:style w:type="paragraph" w:styleId="a9">
    <w:name w:val="annotation text"/>
    <w:basedOn w:val="a"/>
    <w:link w:val="a8"/>
    <w:uiPriority w:val="99"/>
    <w:semiHidden/>
    <w:unhideWhenUsed/>
    <w:qFormat/>
    <w:rsid w:val="00986C25"/>
    <w:pPr>
      <w:spacing w:line="240" w:lineRule="auto"/>
    </w:pPr>
    <w:rPr>
      <w:sz w:val="20"/>
      <w:szCs w:val="20"/>
    </w:rPr>
  </w:style>
  <w:style w:type="paragraph" w:styleId="ab">
    <w:name w:val="annotation subject"/>
    <w:basedOn w:val="a9"/>
    <w:next w:val="a9"/>
    <w:link w:val="aa"/>
    <w:uiPriority w:val="99"/>
    <w:semiHidden/>
    <w:unhideWhenUsed/>
    <w:qFormat/>
    <w:rsid w:val="00986C25"/>
    <w:rPr>
      <w:b/>
      <w:bCs/>
    </w:rPr>
  </w:style>
  <w:style w:type="paragraph" w:customStyle="1" w:styleId="Style">
    <w:name w:val="Style"/>
    <w:qFormat/>
    <w:rsid w:val="00072672"/>
    <w:pPr>
      <w:widowControl w:val="0"/>
      <w:ind w:left="140" w:right="140" w:firstLine="840"/>
      <w:jc w:val="both"/>
    </w:pPr>
    <w:rPr>
      <w:rFonts w:ascii="Liberation Serif" w:eastAsia="SimSun" w:hAnsi="Liberation Serif" w:cs="Arial"/>
      <w:color w:val="00000A"/>
      <w:sz w:val="24"/>
      <w:szCs w:val="24"/>
      <w:lang w:eastAsia="zh-CN" w:bidi="hi-IN"/>
    </w:rPr>
  </w:style>
  <w:style w:type="paragraph" w:customStyle="1" w:styleId="af6">
    <w:name w:val="Колонтитули"/>
    <w:basedOn w:val="a"/>
    <w:qFormat/>
  </w:style>
  <w:style w:type="paragraph" w:styleId="ad">
    <w:name w:val="header"/>
    <w:basedOn w:val="a"/>
    <w:link w:val="ac"/>
    <w:uiPriority w:val="99"/>
    <w:unhideWhenUsed/>
    <w:rsid w:val="00F24DBB"/>
    <w:pPr>
      <w:tabs>
        <w:tab w:val="center" w:pos="4536"/>
        <w:tab w:val="right" w:pos="9072"/>
      </w:tabs>
      <w:spacing w:after="0" w:line="240" w:lineRule="auto"/>
    </w:pPr>
  </w:style>
  <w:style w:type="paragraph" w:styleId="af">
    <w:name w:val="footer"/>
    <w:basedOn w:val="a"/>
    <w:link w:val="ae"/>
    <w:uiPriority w:val="99"/>
    <w:unhideWhenUsed/>
    <w:rsid w:val="00F24DBB"/>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7300D-7D78-4A65-BEED-CDCDAE48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3216</TotalTime>
  <Pages>20</Pages>
  <Words>5323</Words>
  <Characters>30344</Characters>
  <Application>Microsoft Office Word</Application>
  <DocSecurity>0</DocSecurity>
  <Lines>252</Lines>
  <Paragraphs>71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dc:description/>
  <cp:lastModifiedBy>Vladimir Iliev</cp:lastModifiedBy>
  <cp:revision>39</cp:revision>
  <dcterms:created xsi:type="dcterms:W3CDTF">2021-06-25T13:38:00Z</dcterms:created>
  <dcterms:modified xsi:type="dcterms:W3CDTF">2021-11-12T07:59:00Z</dcterms:modified>
  <dc:language>bg-BG</dc:language>
</cp:coreProperties>
</file>