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945" w:rsidRDefault="000140AC">
      <w:pPr>
        <w:spacing w:after="191" w:line="259" w:lineRule="auto"/>
        <w:jc w:val="right"/>
      </w:pPr>
      <w:r>
        <w:t>Прилопние № 5 към чл. 4, ал. 1</w:t>
      </w:r>
    </w:p>
    <w:p w:rsidR="00075945" w:rsidRDefault="000140AC">
      <w:pPr>
        <w:spacing w:after="160" w:line="249" w:lineRule="auto"/>
        <w:ind w:left="298" w:right="158"/>
      </w:pPr>
      <w:r>
        <w:rPr>
          <w:sz w:val="22"/>
        </w:rPr>
        <w:t>(Ново - ДВ, бр. 12 от 2016 г., в сила от 12.02.2016 г., изм. и доп. - ДВ, ф. З от 2018 г.)</w:t>
      </w:r>
    </w:p>
    <w:p w:rsidR="00075945" w:rsidRDefault="000140AC">
      <w:pPr>
        <w:pStyle w:val="1"/>
      </w:pPr>
      <w:r>
        <w:t>до</w:t>
      </w:r>
    </w:p>
    <w:p w:rsidR="00075945" w:rsidRDefault="000140AC">
      <w:pPr>
        <w:pStyle w:val="2"/>
        <w:spacing w:after="635"/>
        <w:ind w:left="1776" w:right="0"/>
      </w:pPr>
      <w:r>
        <w:t>ДИРЕКТОРА НА РИОСВ ПЛОВДИВ</w:t>
      </w:r>
    </w:p>
    <w:p w:rsidR="00075945" w:rsidRDefault="000140AC">
      <w:pPr>
        <w:spacing w:after="138" w:line="259" w:lineRule="auto"/>
        <w:ind w:left="360" w:right="-15"/>
        <w:jc w:val="center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-423710</wp:posOffset>
                </wp:positionV>
                <wp:extent cx="2071944" cy="783410"/>
                <wp:effectExtent l="0" t="0" r="0" b="0"/>
                <wp:wrapSquare wrapText="bothSides"/>
                <wp:docPr id="51222" name="Group 51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1944" cy="783410"/>
                          <a:chOff x="0" y="0"/>
                          <a:chExt cx="2071944" cy="783410"/>
                        </a:xfrm>
                      </wpg:grpSpPr>
                      <pic:pic xmlns:pic="http://schemas.openxmlformats.org/drawingml/2006/picture">
                        <pic:nvPicPr>
                          <pic:cNvPr id="53733" name="Picture 537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1101" y="70110"/>
                            <a:ext cx="1870843" cy="713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5" name="Rectangle 95"/>
                        <wps:cNvSpPr/>
                        <wps:spPr>
                          <a:xfrm>
                            <a:off x="1358952" y="9144"/>
                            <a:ext cx="405248" cy="235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5945" w:rsidRDefault="000140A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12"/>
                                  <w:sz w:val="16"/>
                                </w:rPr>
                                <w:t>СЕДА</w:t>
                              </w:r>
                              <w:r>
                                <w:rPr>
                                  <w:spacing w:val="-2"/>
                                  <w:w w:val="1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1663649" y="3048"/>
                            <a:ext cx="89154" cy="235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5945" w:rsidRDefault="000140A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11"/>
                                  <w:sz w:val="16"/>
                                </w:rPr>
                                <w:t>а</w:t>
                              </w:r>
                              <w:r>
                                <w:rPr>
                                  <w:spacing w:val="-2"/>
                                  <w:w w:val="11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1730682" y="0"/>
                            <a:ext cx="437668" cy="1783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5945" w:rsidRDefault="000140A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pacing w:val="-10"/>
                                  <w:w w:val="8"/>
                                </w:rPr>
                                <w:t>МИТ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859247" y="30483"/>
                            <a:ext cx="664607" cy="1783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5945" w:rsidRDefault="000140A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7"/>
                                </w:rPr>
                                <w:t>отлпжа</w:t>
                              </w:r>
                              <w:r>
                                <w:rPr>
                                  <w:spacing w:val="-12"/>
                                  <w:w w:val="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0" y="45724"/>
                            <a:ext cx="1005015" cy="1702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5945" w:rsidRDefault="000140A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9"/>
                                  <w:sz w:val="20"/>
                                </w:rPr>
                                <w:t>мпнисм•ство</w:t>
                              </w:r>
                              <w:r>
                                <w:rPr>
                                  <w:spacing w:val="-2"/>
                                  <w:w w:val="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1222" style="width:163.145pt;height:61.6858pt;position:absolute;mso-position-horizontal-relative:text;mso-position-horizontal:absolute;margin-left:357pt;mso-position-vertical-relative:text;margin-top:-33.3631pt;" coordsize="20719,7834">
                <v:shape id="Picture 53733" style="position:absolute;width:18708;height:7133;left:2011;top:701;" filled="f">
                  <v:imagedata r:id="rId6"/>
                </v:shape>
                <v:rect id="Rectangle 95" style="position:absolute;width:4052;height:2351;left:13589;top: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12"/>
                            <w:sz w:val="16"/>
                          </w:rPr>
                          <w:t xml:space="preserve">СЕДА</w:t>
                        </w:r>
                        <w:r>
                          <w:rPr>
                            <w:spacing w:val="-2"/>
                            <w:w w:val="1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style="position:absolute;width:891;height:2351;left:16636;top: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11"/>
                            <w:sz w:val="16"/>
                          </w:rPr>
                          <w:t xml:space="preserve">а</w:t>
                        </w:r>
                        <w:r>
                          <w:rPr>
                            <w:spacing w:val="-2"/>
                            <w:w w:val="1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style="position:absolute;width:4376;height:1783;left:17306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pacing w:val="-10"/>
                            <w:w w:val="8"/>
                          </w:rPr>
                          <w:t xml:space="preserve">МИТ</w:t>
                        </w:r>
                      </w:p>
                    </w:txbxContent>
                  </v:textbox>
                </v:rect>
                <v:rect id="Rectangle 94" style="position:absolute;width:6646;height:1783;left:8592;top:3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7"/>
                          </w:rPr>
                          <w:t xml:space="preserve">отлпжа</w:t>
                        </w:r>
                        <w:r>
                          <w:rPr>
                            <w:spacing w:val="-12"/>
                            <w:w w:val="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style="position:absolute;width:10050;height:1702;left:0;top:4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9"/>
                            <w:sz w:val="20"/>
                          </w:rPr>
                          <w:t xml:space="preserve">мпнисм•ство</w:t>
                        </w:r>
                        <w:r>
                          <w:rPr>
                            <w:spacing w:val="-2"/>
                            <w:w w:val="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22"/>
        </w:rPr>
        <w:t>УВЕДОМЛЕНИЕ</w:t>
      </w:r>
    </w:p>
    <w:p w:rsidR="00075945" w:rsidRDefault="000140AC">
      <w:pPr>
        <w:spacing w:after="565" w:line="265" w:lineRule="auto"/>
        <w:ind w:left="365" w:right="0"/>
        <w:jc w:val="center"/>
      </w:pPr>
      <w:r>
        <w:rPr>
          <w:sz w:val="18"/>
        </w:rPr>
        <w:t>за ИНВэСТщИОННО предложение</w:t>
      </w:r>
    </w:p>
    <w:p w:rsidR="00075945" w:rsidRDefault="000140AC">
      <w:pPr>
        <w:spacing w:line="492" w:lineRule="auto"/>
        <w:ind w:left="504" w:right="422"/>
      </w:pPr>
      <w:r>
        <w:t xml:space="preserve">от 1. </w:t>
      </w:r>
      <w:r>
        <w:t xml:space="preserve">Алиев- </w:t>
      </w:r>
    </w:p>
    <w:p w:rsidR="00075945" w:rsidRDefault="000140AC" w:rsidP="000140AC">
      <w:pPr>
        <w:spacing w:line="492" w:lineRule="auto"/>
        <w:ind w:left="494" w:right="633" w:firstLine="250"/>
      </w:pPr>
      <w:r>
        <w:t>2. Х.</w:t>
      </w:r>
      <w:r>
        <w:t xml:space="preserve"> Кариалил - </w:t>
      </w:r>
    </w:p>
    <w:p w:rsidR="00075945" w:rsidRDefault="000140AC">
      <w:pPr>
        <w:spacing w:after="284" w:line="249" w:lineRule="auto"/>
        <w:ind w:left="797" w:right="158"/>
      </w:pPr>
      <w:r>
        <w:rPr>
          <w:sz w:val="22"/>
        </w:rPr>
        <w:t>УВАЖАЕМИ ГОСПОДИН ДИРЕКТОР,</w:t>
      </w:r>
    </w:p>
    <w:p w:rsidR="00075945" w:rsidRDefault="000140AC">
      <w:pPr>
        <w:spacing w:after="296"/>
        <w:ind w:left="494" w:right="0" w:firstLine="278"/>
      </w:pPr>
      <w:r>
        <w:t>Уведомяваме Ви, че</w:t>
      </w:r>
      <w:r>
        <w:t>:</w:t>
      </w:r>
    </w:p>
    <w:p w:rsidR="00075945" w:rsidRDefault="000140AC">
      <w:pPr>
        <w:spacing w:after="0" w:line="259" w:lineRule="auto"/>
        <w:ind w:left="0" w:right="144" w:firstLine="0"/>
        <w:jc w:val="right"/>
      </w:pPr>
      <w:r>
        <w:rPr>
          <w:sz w:val="26"/>
        </w:rPr>
        <w:t>Смяна предназначението на земеделска земя за тлищно застрояване на ПИ</w:t>
      </w:r>
    </w:p>
    <w:p w:rsidR="00075945" w:rsidRDefault="000140AC">
      <w:pPr>
        <w:ind w:left="504" w:right="139"/>
      </w:pPr>
      <w:r>
        <w:t>40467.9.440 с площ 6.002 де в землище на гр.Куклен, местност „Червенака", община</w:t>
      </w:r>
    </w:p>
    <w:p w:rsidR="00075945" w:rsidRDefault="000140AC">
      <w:pPr>
        <w:spacing w:after="305" w:line="249" w:lineRule="auto"/>
        <w:ind w:left="519" w:right="158"/>
      </w:pPr>
      <w:r>
        <w:rPr>
          <w:sz w:val="22"/>
        </w:rPr>
        <w:t xml:space="preserve">Куклен </w:t>
      </w:r>
      <w:r>
        <w:rPr>
          <w:noProof/>
        </w:rPr>
        <w:drawing>
          <wp:inline distT="0" distB="0" distL="0" distR="0">
            <wp:extent cx="24376" cy="18290"/>
            <wp:effectExtent l="0" t="0" r="0" b="0"/>
            <wp:docPr id="1205" name="Picture 12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5" name="Picture 120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76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945" w:rsidRDefault="000140AC">
      <w:pPr>
        <w:spacing w:after="219" w:line="259" w:lineRule="auto"/>
        <w:ind w:left="772" w:right="0"/>
        <w:jc w:val="left"/>
      </w:pPr>
      <w:r>
        <w:rPr>
          <w:u w:val="single" w:color="000000"/>
        </w:rPr>
        <w:t>Характеристие на инвестиционното предлопние:</w:t>
      </w:r>
    </w:p>
    <w:p w:rsidR="00075945" w:rsidRDefault="000140AC">
      <w:pPr>
        <w:numPr>
          <w:ilvl w:val="0"/>
          <w:numId w:val="1"/>
        </w:numPr>
        <w:spacing w:after="265"/>
        <w:ind w:right="148" w:firstLine="278"/>
      </w:pPr>
      <w:r>
        <w:t>Резюме на предложението</w:t>
      </w:r>
    </w:p>
    <w:p w:rsidR="00075945" w:rsidRDefault="000140AC">
      <w:pPr>
        <w:ind w:left="494" w:right="139" w:firstLine="259"/>
      </w:pPr>
      <w:r>
        <w:t>Инвестиционното предложение се състои в изграпане на нови обекти: Жилищна сграда" ниско застрояване, съгласно одобрен ПУП-ПРЗ, като от имот 40467.9.440 се обособят 10 броя Урегулирани Поз</w:t>
      </w:r>
      <w:r>
        <w:t>емлени Имоти /УПИ/. Предвижда се изгра№ане на еднофамилни плищни арии в УПИ. Строителството ще се осъществи по традиционен монолитен начин.</w:t>
      </w:r>
    </w:p>
    <w:p w:rsidR="00075945" w:rsidRDefault="000140AC">
      <w:pPr>
        <w:spacing w:after="250" w:line="249" w:lineRule="auto"/>
        <w:ind w:left="490" w:right="158"/>
      </w:pPr>
      <w:r>
        <w:rPr>
          <w:sz w:val="22"/>
        </w:rPr>
        <w:t>(посочва се характеры на инвестиционното предложение, в т.ч, дали е за ново инвестиционно предложение. и/или за раэш</w:t>
      </w:r>
      <w:r>
        <w:rPr>
          <w:sz w:val="22"/>
        </w:rPr>
        <w:t>ирение или изменение на производствената дейност съгласно приложение № 1 или приложение № 2 към Закона за опазване на охолната среда (300С)</w:t>
      </w:r>
    </w:p>
    <w:p w:rsidR="00075945" w:rsidRDefault="000140AC">
      <w:pPr>
        <w:numPr>
          <w:ilvl w:val="0"/>
          <w:numId w:val="1"/>
        </w:numPr>
        <w:spacing w:after="276" w:line="249" w:lineRule="auto"/>
        <w:ind w:right="148" w:firstLine="278"/>
      </w:pPr>
      <w:r>
        <w:rPr>
          <w:sz w:val="22"/>
        </w:rPr>
        <w:t>Описание на оснОВните процеси, апацитет, обща използвана площ необходимост от други свързани с основния предмет спомагателни или дейности, в т.ч. ползване на съществуваща или необходимост от на нова техничесе инфраструктура (пътища/улици, газопров№, елепро</w:t>
      </w:r>
      <w:r>
        <w:rPr>
          <w:sz w:val="22"/>
        </w:rPr>
        <w:t>проводи и др.); предвидени изтпни работи, предполагаема дьлбочина на изкопле, ползване на взрив:</w:t>
      </w:r>
    </w:p>
    <w:p w:rsidR="00075945" w:rsidRDefault="000140AC">
      <w:pPr>
        <w:spacing w:after="244"/>
        <w:ind w:left="494" w:right="139" w:firstLine="278"/>
      </w:pPr>
      <w:r>
        <w:t>Строителните дейности ще си извършват в УПИ, без да засягат и выпрепятстват съседните имоти. Има дотьп до имота от път Ш тас, собственост на ОПУ Пловдив. Необх</w:t>
      </w:r>
      <w:r>
        <w:t>одимо е изграхщане на нови елетро и ВИК врыт, съгласно становищата на ексллоатационните дружества. Предвидените изкопни работи, с дыбочина до 1.30м, ще се ползват за изравняване на терена. Не се предви№а ползване на взрив.</w:t>
      </w:r>
    </w:p>
    <w:p w:rsidR="00075945" w:rsidRDefault="000140AC">
      <w:pPr>
        <w:spacing w:after="279" w:line="249" w:lineRule="auto"/>
        <w:ind w:left="480" w:right="158" w:firstLine="288"/>
      </w:pPr>
      <w:r>
        <w:rPr>
          <w:sz w:val="22"/>
        </w:rPr>
        <w:t>З. Врыв с други същесгвуващи и од</w:t>
      </w:r>
      <w:r>
        <w:rPr>
          <w:sz w:val="22"/>
        </w:rPr>
        <w:t>обрени с устройствэн или друг план дейности в обхвата на въздействие на обета на инвестиционното предлопние, необходимост от ииаване на сыласувателнифазрешителни документи по реда на специален закон; орган по одобряванефазрешаване на инвестиционного предло</w:t>
      </w:r>
      <w:r>
        <w:rPr>
          <w:sz w:val="22"/>
        </w:rPr>
        <w:t>жение по реда на специален закон:</w:t>
      </w:r>
    </w:p>
    <w:p w:rsidR="00075945" w:rsidRDefault="000140AC">
      <w:pPr>
        <w:spacing w:after="157"/>
        <w:ind w:left="494" w:right="139" w:firstLine="288"/>
      </w:pPr>
      <w:r>
        <w:t>Няма арыка друм дейности. Разработенит ПУП-ПРЗ е подготвен върху апуална кадастрална основа, като се образуват 10 ф. УПИ за Млищно застрояване.</w:t>
      </w:r>
    </w:p>
    <w:p w:rsidR="00075945" w:rsidRDefault="000140AC">
      <w:pPr>
        <w:spacing w:after="293"/>
        <w:ind w:left="768" w:right="139"/>
      </w:pPr>
      <w:r>
        <w:t>4. Местоположение:</w:t>
      </w:r>
    </w:p>
    <w:p w:rsidR="00075945" w:rsidRDefault="000140AC">
      <w:pPr>
        <w:spacing w:after="322" w:line="249" w:lineRule="auto"/>
        <w:ind w:left="490" w:right="158"/>
      </w:pPr>
      <w:r>
        <w:rPr>
          <w:sz w:val="22"/>
        </w:rPr>
        <w:lastRenderedPageBreak/>
        <w:t xml:space="preserve">(населено мято, община, квартал, поземлен имот, вто за линейни обепи посочват засегнатте общинифайони/кметства, географам координати или правоъљлни проещионни ИТ томинати в 35 зона в БГС20О5, собственост, близост до или застане на елементи на Националната </w:t>
      </w:r>
      <w:r>
        <w:rPr>
          <w:sz w:val="22"/>
        </w:rPr>
        <w:t>еколомчна мре (НЕМ), обепи, подлежащи на здравна защита, и тертории за опазване на обектите на културното Hac"Q6B0, очаквано трансгранично выдействие, схема на нова или промяна на съществуваща пътна инфраструктура)</w:t>
      </w:r>
    </w:p>
    <w:p w:rsidR="00075945" w:rsidRDefault="000140AC">
      <w:pPr>
        <w:spacing w:after="255" w:line="259" w:lineRule="auto"/>
        <w:ind w:left="494" w:right="0" w:firstLine="413"/>
      </w:pPr>
      <w:r>
        <w:rPr>
          <w:sz w:val="26"/>
        </w:rPr>
        <w:t>Площадката на новте УПИ се намира в земли</w:t>
      </w:r>
      <w:r>
        <w:rPr>
          <w:sz w:val="26"/>
        </w:rPr>
        <w:t>щето на гр.Кутен, местност „Червенае" в близост до регулацита на гр.Кутен.</w:t>
      </w:r>
    </w:p>
    <w:p w:rsidR="00075945" w:rsidRDefault="000140AC">
      <w:pPr>
        <w:spacing w:after="276"/>
        <w:ind w:left="494" w:right="139" w:firstLine="413"/>
      </w:pPr>
      <w:r>
        <w:t xml:space="preserve">Имотьт ПИ 40467.9.440 е собственост на Махмуд Рафедов Алиев и Хамди Ми Карахалил , сьглатю нотариален акт №134, T.lV, рег.№7544, д. №683 от 2018г., вписан с </w:t>
      </w:r>
      <w:r>
        <w:rPr>
          <w:noProof/>
        </w:rPr>
        <w:drawing>
          <wp:inline distT="0" distB="0" distL="0" distR="0">
            <wp:extent cx="6094" cy="6097"/>
            <wp:effectExtent l="0" t="0" r="0" b="0"/>
            <wp:docPr id="3682" name="Picture 36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2" name="Picture 368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вх. рег.№40680 от 30.11</w:t>
      </w:r>
      <w:r>
        <w:t>02018г.</w:t>
      </w:r>
    </w:p>
    <w:p w:rsidR="00075945" w:rsidRDefault="000140AC">
      <w:pPr>
        <w:spacing w:after="264"/>
        <w:ind w:left="494" w:right="139" w:firstLine="288"/>
      </w:pPr>
      <w:r>
        <w:t>Не е в близост до НЕМ, няма обепм, подлежащи на здравна защита и не се очаква трансгранично выдействие. Не се предвихща изграчане на нова пыжа инфраструктура, поради наличие на сыцествуваща</w:t>
      </w:r>
      <w:r>
        <w:rPr>
          <w:noProof/>
        </w:rPr>
        <w:drawing>
          <wp:inline distT="0" distB="0" distL="0" distR="0">
            <wp:extent cx="18282" cy="30483"/>
            <wp:effectExtent l="0" t="0" r="0" b="0"/>
            <wp:docPr id="3683" name="Picture 36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3" name="Picture 368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2" cy="30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945" w:rsidRDefault="000140AC">
      <w:pPr>
        <w:spacing w:after="5" w:line="249" w:lineRule="auto"/>
        <w:ind w:left="480" w:right="158" w:firstLine="288"/>
      </w:pPr>
      <w:r>
        <w:rPr>
          <w:sz w:val="22"/>
        </w:rPr>
        <w:t>5. Природни ресурси, предвидени за използване по време на</w:t>
      </w:r>
      <w:r>
        <w:rPr>
          <w:sz w:val="22"/>
        </w:rPr>
        <w:t xml:space="preserve"> сгроителството и експлоатацията: (включително предвидено водовземане за питейни, промишлени и други нужди - чрез обществено водоснабдяванэ (ВИК или друга мреп) и/или водовземане или ползване на повърхностни води илли подземни в№и, необходими </w:t>
      </w:r>
      <w:r>
        <w:rPr>
          <w:noProof/>
        </w:rPr>
        <w:drawing>
          <wp:inline distT="0" distB="0" distL="0" distR="0">
            <wp:extent cx="658147" cy="97545"/>
            <wp:effectExtent l="0" t="0" r="0" b="0"/>
            <wp:docPr id="3716" name="Picture 37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6" name="Picture 371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8147" cy="9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>съществуващи</w:t>
      </w:r>
      <w:r>
        <w:rPr>
          <w:sz w:val="22"/>
        </w:rPr>
        <w:t xml:space="preserve"> съоръжения или необходимост от изграждане на нови)</w:t>
      </w:r>
    </w:p>
    <w:p w:rsidR="00075945" w:rsidRDefault="000140AC">
      <w:pPr>
        <w:spacing w:after="270"/>
        <w:ind w:left="494" w:right="139" w:firstLine="230"/>
      </w:pPr>
      <w:r>
        <w:t>За реализацията на обета ще се закупуват сертифицирани материали от лицензирани производители, съгласно законодателството на Република Бьлгария. Водовземането за питейни нуми ще се осъществи от уличния во</w:t>
      </w:r>
      <w:r>
        <w:t>допровод от съществуваща вчопроводна мрежа, съгласно становището на Вик.</w:t>
      </w:r>
    </w:p>
    <w:p w:rsidR="00075945" w:rsidRDefault="000140AC">
      <w:pPr>
        <w:spacing w:after="250" w:line="249" w:lineRule="auto"/>
        <w:ind w:left="537" w:right="158" w:firstLine="422"/>
      </w:pPr>
      <w:r>
        <w:rPr>
          <w:sz w:val="22"/>
        </w:rPr>
        <w:t>6, Очатани веи.рства, «то биат емитирани от дейноспа, в т.ч. пр•юритетни и/или опаски, тито се осъи—твява или е възм«ен контап с води:</w:t>
      </w:r>
    </w:p>
    <w:p w:rsidR="00075945" w:rsidRDefault="000140AC">
      <w:pPr>
        <w:spacing w:after="203" w:line="259" w:lineRule="auto"/>
        <w:ind w:left="730" w:right="0"/>
      </w:pPr>
      <w:r>
        <w:rPr>
          <w:sz w:val="26"/>
        </w:rPr>
        <w:t>не се очакват.</w:t>
      </w:r>
    </w:p>
    <w:p w:rsidR="00075945" w:rsidRDefault="000140AC">
      <w:pPr>
        <w:numPr>
          <w:ilvl w:val="0"/>
          <w:numId w:val="2"/>
        </w:numPr>
        <w:spacing w:after="208" w:line="249" w:lineRule="auto"/>
        <w:ind w:right="158" w:firstLine="298"/>
      </w:pPr>
      <w:r>
        <w:rPr>
          <w:sz w:val="22"/>
        </w:rPr>
        <w:t>Очатани общи емисии на вредни вещ</w:t>
      </w:r>
      <w:r>
        <w:rPr>
          <w:sz w:val="22"/>
        </w:rPr>
        <w:t>ества във выдре по замърсители:</w:t>
      </w:r>
    </w:p>
    <w:p w:rsidR="00075945" w:rsidRDefault="000140AC">
      <w:pPr>
        <w:spacing w:after="243" w:line="259" w:lineRule="auto"/>
        <w:ind w:left="729" w:right="0" w:firstLine="0"/>
        <w:jc w:val="left"/>
      </w:pPr>
      <w:r>
        <w:rPr>
          <w:sz w:val="30"/>
        </w:rPr>
        <w:t>Не се очиват.</w:t>
      </w:r>
    </w:p>
    <w:p w:rsidR="00075945" w:rsidRDefault="000140AC">
      <w:pPr>
        <w:numPr>
          <w:ilvl w:val="0"/>
          <w:numId w:val="2"/>
        </w:numPr>
        <w:spacing w:after="224" w:line="249" w:lineRule="auto"/>
        <w:ind w:right="158" w:firstLine="298"/>
      </w:pPr>
      <w:r>
        <w:rPr>
          <w:sz w:val="22"/>
        </w:rPr>
        <w:t xml:space="preserve">Отпадъци, тито се </w:t>
      </w:r>
      <w:r>
        <w:rPr>
          <w:sz w:val="22"/>
        </w:rPr>
        <w:tab/>
        <w:t>да се генерират, и предвипания за тяхното третиране:</w:t>
      </w:r>
    </w:p>
    <w:p w:rsidR="00075945" w:rsidRDefault="000140AC">
      <w:pPr>
        <w:spacing w:after="215"/>
        <w:ind w:left="494" w:right="139" w:firstLine="125"/>
      </w:pPr>
      <w:r>
        <w:t>Битовте отпадъци от експлоатацията на обета ще се събират в специални контейнери за сметосъбиране, предоставени от общината, след въвепене в ексллоатация на обета и получаване на административен адрес. Отпддъците ще се извозват от фирмата по чистота ом нас</w:t>
      </w:r>
      <w:r>
        <w:t>еленото мято.</w:t>
      </w:r>
    </w:p>
    <w:p w:rsidR="00075945" w:rsidRDefault="000140AC">
      <w:pPr>
        <w:numPr>
          <w:ilvl w:val="0"/>
          <w:numId w:val="2"/>
        </w:numPr>
        <w:spacing w:after="276" w:line="249" w:lineRule="auto"/>
        <w:ind w:right="158" w:firstLine="298"/>
      </w:pPr>
      <w:r>
        <w:rPr>
          <w:sz w:val="22"/>
        </w:rPr>
        <w:t xml:space="preserve">Отпиъчни </w:t>
      </w:r>
      <w:r>
        <w:rPr>
          <w:noProof/>
        </w:rPr>
        <w:drawing>
          <wp:inline distT="0" distB="0" distL="0" distR="0">
            <wp:extent cx="877529" cy="121931"/>
            <wp:effectExtent l="0" t="0" r="0" b="0"/>
            <wp:docPr id="6045" name="Picture 60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5" name="Picture 604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77529" cy="12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тличество и вид на формираните отпиъчни вади по потоци (битови, промишлени и др.), сезонност. предвидени наини зе трииранато им (пречиствателна станция/съоръжение и др.), отвепане и зеустване в канализацюнна система/повърпюстен вод</w:t>
      </w:r>
      <w:r>
        <w:rPr>
          <w:sz w:val="22"/>
        </w:rPr>
        <w:t>ен обет/водоплътна изгребна яма и др.)</w:t>
      </w:r>
    </w:p>
    <w:p w:rsidR="00075945" w:rsidRDefault="000140AC">
      <w:pPr>
        <w:spacing w:after="255"/>
        <w:ind w:left="494" w:right="139" w:firstLine="240"/>
      </w:pPr>
      <w:r>
        <w:t>Отпадните битови вади се формират от санитарните въии и ще се отвечат във виоплътна изгребна яма по одобрен проект.</w:t>
      </w:r>
    </w:p>
    <w:p w:rsidR="00075945" w:rsidRDefault="000140AC">
      <w:pPr>
        <w:spacing w:after="294" w:line="249" w:lineRule="auto"/>
        <w:ind w:left="547" w:right="96" w:firstLine="240"/>
      </w:pPr>
      <w:r>
        <w:rPr>
          <w:noProof/>
        </w:rPr>
        <w:drawing>
          <wp:inline distT="0" distB="0" distL="0" distR="0">
            <wp:extent cx="12188" cy="36580"/>
            <wp:effectExtent l="0" t="0" r="0" b="0"/>
            <wp:docPr id="53737" name="Picture 537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37" name="Picture 5373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188" cy="3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>10. Опасни химични веирства, кито се шата де быт налтни на площадтта на предприятито/съоръ№нието: (в</w:t>
      </w:r>
      <w:r>
        <w:rPr>
          <w:sz w:val="22"/>
        </w:rPr>
        <w:t xml:space="preserve"> случаите по чл. 996 ЗООС се представя информация за вида и количеството на опасните вещества. тито ще са налични припритиета/съорьпнието съгласно приложение № 1 ом Наредбата за предотвратяване на големи аварии и ограничаване на последствията от тях)</w:t>
      </w:r>
    </w:p>
    <w:p w:rsidR="00075945" w:rsidRDefault="000140AC">
      <w:pPr>
        <w:spacing w:after="202" w:line="259" w:lineRule="auto"/>
        <w:ind w:left="845" w:right="0"/>
      </w:pPr>
      <w:r>
        <w:rPr>
          <w:sz w:val="26"/>
        </w:rPr>
        <w:lastRenderedPageBreak/>
        <w:t>Не се</w:t>
      </w:r>
      <w:r>
        <w:rPr>
          <w:sz w:val="26"/>
        </w:rPr>
        <w:t xml:space="preserve"> очакват.</w:t>
      </w:r>
    </w:p>
    <w:p w:rsidR="00075945" w:rsidRDefault="000140AC">
      <w:pPr>
        <w:spacing w:after="233"/>
        <w:ind w:left="494" w:right="139" w:firstLine="288"/>
      </w:pPr>
      <w:r>
        <w:t>1. Моля да ни информирате за необходимите действия, кото тр%ва да предлриемем, по реда на глава шеста ЗООС. Моля, на основание чл. 93, ал. 9, т. 1 ЗООС де се проведе задължителне ОВОС, без да се извършва прецент.</w:t>
      </w:r>
    </w:p>
    <w:p w:rsidR="00075945" w:rsidRDefault="000140AC">
      <w:pPr>
        <w:spacing w:after="182"/>
        <w:ind w:left="845" w:right="139"/>
      </w:pPr>
      <w:r>
        <w:t>ll. друга информаџя (не е задьлжи</w:t>
      </w:r>
      <w:r>
        <w:t>телно за попълеанэ)</w:t>
      </w:r>
    </w:p>
    <w:p w:rsidR="00075945" w:rsidRDefault="000140AC">
      <w:pPr>
        <w:spacing w:after="211"/>
        <w:ind w:left="494" w:right="139" w:firstLine="317"/>
      </w:pPr>
      <w:r>
        <w:t xml:space="preserve">Моля да долуснато извършването само на ОВОС (в случаите по чл. 91, ал. 2 </w:t>
      </w:r>
      <w:r>
        <w:rPr>
          <w:noProof/>
        </w:rPr>
        <w:drawing>
          <wp:inline distT="0" distB="0" distL="0" distR="0">
            <wp:extent cx="6094" cy="6097"/>
            <wp:effectExtent l="0" t="0" r="0" b="0"/>
            <wp:docPr id="6007" name="Picture 60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7" name="Picture 600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ЗООС, когато за инвестиционно предложение, втючено в прилопние № 1 или в прилопние № 2 ом ЗОоС, се изисква и изготвяњто на самостоятелен план или програма по чл. </w:t>
      </w:r>
      <w:r>
        <w:t>85, ал. 1 и 2 ЗООС) поради следите основания (мотиви):</w:t>
      </w:r>
    </w:p>
    <w:p w:rsidR="00075945" w:rsidRDefault="000140AC">
      <w:pPr>
        <w:spacing w:after="219" w:line="259" w:lineRule="auto"/>
        <w:ind w:left="772" w:right="0"/>
        <w:jc w:val="left"/>
      </w:pPr>
      <w:r>
        <w:rPr>
          <w:u w:val="single" w:color="000000"/>
        </w:rPr>
        <w:t>Прилагам</w:t>
      </w:r>
      <w:r>
        <w:t>:</w:t>
      </w:r>
    </w:p>
    <w:p w:rsidR="00075945" w:rsidRDefault="000140AC">
      <w:pPr>
        <w:numPr>
          <w:ilvl w:val="0"/>
          <w:numId w:val="3"/>
        </w:numPr>
        <w:spacing w:after="289"/>
        <w:ind w:right="139" w:firstLine="283"/>
      </w:pPr>
      <w:r>
        <w:t>Документи, доказващи уведомяване на съответната/съответните община/общини, район/райони и тетство или кметства и на засетатото население сьгласно изискванията на чл. 4, ал. 2 от Наредбата за условията и реда за извършване на оценка на въиействието върху ок</w:t>
      </w:r>
      <w:r>
        <w:t>олната среда, приета с Постановление № 59 на Министерстя съвет от 2003 г.</w:t>
      </w:r>
    </w:p>
    <w:p w:rsidR="00075945" w:rsidRDefault="000140AC">
      <w:pPr>
        <w:numPr>
          <w:ilvl w:val="0"/>
          <w:numId w:val="3"/>
        </w:numPr>
        <w:spacing w:after="285"/>
        <w:ind w:right="139" w:firstLine="283"/>
      </w:pPr>
      <w:r>
        <w:t>Документи, удостоверяващи по на итециалвн закон, нормативен или административен акт права за иницииране или камидатстване за одобряване на инвестиционно предложение.</w:t>
      </w:r>
    </w:p>
    <w:p w:rsidR="00075945" w:rsidRDefault="000140AC">
      <w:pPr>
        <w:spacing w:after="259" w:line="259" w:lineRule="auto"/>
        <w:ind w:left="768" w:right="0"/>
        <w:jc w:val="left"/>
      </w:pPr>
      <w:r>
        <w:rPr>
          <w:sz w:val="28"/>
        </w:rPr>
        <w:t>З. друм дооченти</w:t>
      </w:r>
      <w:r>
        <w:rPr>
          <w:sz w:val="28"/>
        </w:rPr>
        <w:t xml:space="preserve"> по прецент на уведомителя:</w:t>
      </w:r>
    </w:p>
    <w:p w:rsidR="00075945" w:rsidRDefault="000140AC">
      <w:pPr>
        <w:numPr>
          <w:ilvl w:val="1"/>
          <w:numId w:val="4"/>
        </w:numPr>
        <w:spacing w:after="0" w:line="259" w:lineRule="auto"/>
        <w:ind w:right="139" w:firstLine="288"/>
      </w:pPr>
      <w:r>
        <w:t xml:space="preserve">допълнителна информация/документация, </w:t>
      </w:r>
      <w:r>
        <w:rPr>
          <w:noProof/>
        </w:rPr>
        <w:drawing>
          <wp:inline distT="0" distB="0" distL="0" distR="0">
            <wp:extent cx="798308" cy="109738"/>
            <wp:effectExtent l="0" t="0" r="0" b="0"/>
            <wp:docPr id="53740" name="Picture 537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40" name="Picture 5374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98308" cy="10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инвестиционното</w:t>
      </w:r>
    </w:p>
    <w:p w:rsidR="00075945" w:rsidRDefault="000140AC">
      <w:pPr>
        <w:spacing w:after="310"/>
        <w:ind w:left="504" w:right="139"/>
      </w:pPr>
      <w:r>
        <w:t>предложение;</w:t>
      </w:r>
    </w:p>
    <w:p w:rsidR="00075945" w:rsidRDefault="000140AC">
      <w:pPr>
        <w:numPr>
          <w:ilvl w:val="1"/>
          <w:numId w:val="4"/>
        </w:numPr>
        <w:spacing w:after="295"/>
        <w:ind w:right="139" w:firstLine="288"/>
      </w:pPr>
      <w:r>
        <w:t>картен материал, схема, снимков материал, атуална стер на имота и др. В подходящ мащаб.</w:t>
      </w:r>
    </w:p>
    <w:p w:rsidR="00075945" w:rsidRDefault="000140AC">
      <w:pPr>
        <w:spacing w:after="730"/>
        <w:ind w:left="768" w:right="139"/>
      </w:pPr>
      <w:r>
        <w:t>4. Електронен носител - 1 бр.</w:t>
      </w:r>
    </w:p>
    <w:p w:rsidR="00075945" w:rsidRDefault="000140AC">
      <w:pPr>
        <w:ind w:left="494" w:right="1881" w:firstLine="2130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700804</wp:posOffset>
            </wp:positionH>
            <wp:positionV relativeFrom="paragraph">
              <wp:posOffset>48773</wp:posOffset>
            </wp:positionV>
            <wp:extent cx="1170039" cy="237767"/>
            <wp:effectExtent l="0" t="0" r="0" b="0"/>
            <wp:wrapSquare wrapText="bothSides"/>
            <wp:docPr id="53744" name="Picture 537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44" name="Picture 5374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70039" cy="237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Уведомител: Дата:</w:t>
      </w:r>
    </w:p>
    <w:p w:rsidR="00075945" w:rsidRDefault="000140AC">
      <w:pPr>
        <w:spacing w:after="108" w:line="259" w:lineRule="auto"/>
        <w:ind w:left="4530" w:right="0"/>
        <w:jc w:val="center"/>
      </w:pPr>
      <w:r>
        <w:rPr>
          <w:sz w:val="22"/>
        </w:rPr>
        <w:t>(поДпис)</w:t>
      </w:r>
      <w:r>
        <w:br w:type="page"/>
      </w:r>
    </w:p>
    <w:p w:rsidR="00075945" w:rsidRDefault="00075945">
      <w:pPr>
        <w:spacing w:after="0" w:line="259" w:lineRule="auto"/>
        <w:ind w:left="624" w:right="-422" w:firstLine="0"/>
        <w:jc w:val="left"/>
      </w:pPr>
      <w:bookmarkStart w:id="0" w:name="_GoBack"/>
      <w:bookmarkEnd w:id="0"/>
    </w:p>
    <w:sectPr w:rsidR="00075945">
      <w:pgSz w:w="11900" w:h="16840"/>
      <w:pgMar w:top="509" w:right="825" w:bottom="317" w:left="114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80A02"/>
    <w:multiLevelType w:val="hybridMultilevel"/>
    <w:tmpl w:val="32020442"/>
    <w:lvl w:ilvl="0" w:tplc="CE9CF6AA">
      <w:start w:val="1"/>
      <w:numFmt w:val="decimal"/>
      <w:lvlText w:val="%1."/>
      <w:lvlJc w:val="left"/>
      <w:pPr>
        <w:ind w:left="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D8E0462">
      <w:start w:val="1"/>
      <w:numFmt w:val="lowerLetter"/>
      <w:lvlText w:val="%2"/>
      <w:lvlJc w:val="left"/>
      <w:pPr>
        <w:ind w:left="1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1143646">
      <w:start w:val="1"/>
      <w:numFmt w:val="lowerRoman"/>
      <w:lvlText w:val="%3"/>
      <w:lvlJc w:val="left"/>
      <w:pPr>
        <w:ind w:left="2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45ECD74">
      <w:start w:val="1"/>
      <w:numFmt w:val="decimal"/>
      <w:lvlText w:val="%4"/>
      <w:lvlJc w:val="left"/>
      <w:pPr>
        <w:ind w:left="2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BC040C4">
      <w:start w:val="1"/>
      <w:numFmt w:val="lowerLetter"/>
      <w:lvlText w:val="%5"/>
      <w:lvlJc w:val="left"/>
      <w:pPr>
        <w:ind w:left="3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85CC308">
      <w:start w:val="1"/>
      <w:numFmt w:val="lowerRoman"/>
      <w:lvlText w:val="%6"/>
      <w:lvlJc w:val="left"/>
      <w:pPr>
        <w:ind w:left="4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09E23EC">
      <w:start w:val="1"/>
      <w:numFmt w:val="decimal"/>
      <w:lvlText w:val="%7"/>
      <w:lvlJc w:val="left"/>
      <w:pPr>
        <w:ind w:left="4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2667DCE">
      <w:start w:val="1"/>
      <w:numFmt w:val="lowerLetter"/>
      <w:lvlText w:val="%8"/>
      <w:lvlJc w:val="left"/>
      <w:pPr>
        <w:ind w:left="5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40CED5C">
      <w:start w:val="1"/>
      <w:numFmt w:val="lowerRoman"/>
      <w:lvlText w:val="%9"/>
      <w:lvlJc w:val="left"/>
      <w:pPr>
        <w:ind w:left="6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033EE4"/>
    <w:multiLevelType w:val="hybridMultilevel"/>
    <w:tmpl w:val="E0560558"/>
    <w:lvl w:ilvl="0" w:tplc="77A803B8">
      <w:start w:val="1"/>
      <w:numFmt w:val="decimal"/>
      <w:lvlText w:val="%1.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CE51F4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BC22D0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705E04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5E503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BE8ADC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D275C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FC17F6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AA2A50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7E6819"/>
    <w:multiLevelType w:val="multilevel"/>
    <w:tmpl w:val="A24E380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B962EE"/>
    <w:multiLevelType w:val="hybridMultilevel"/>
    <w:tmpl w:val="34482AE8"/>
    <w:lvl w:ilvl="0" w:tplc="5426CDE8">
      <w:start w:val="1"/>
      <w:numFmt w:val="decimal"/>
      <w:lvlText w:val="%1."/>
      <w:lvlJc w:val="left"/>
      <w:pPr>
        <w:ind w:left="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11EDC2C">
      <w:start w:val="1"/>
      <w:numFmt w:val="lowerLetter"/>
      <w:lvlText w:val="%2"/>
      <w:lvlJc w:val="left"/>
      <w:pPr>
        <w:ind w:left="1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1DEB9EA">
      <w:start w:val="1"/>
      <w:numFmt w:val="lowerRoman"/>
      <w:lvlText w:val="%3"/>
      <w:lvlJc w:val="left"/>
      <w:pPr>
        <w:ind w:left="2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2C488D6">
      <w:start w:val="1"/>
      <w:numFmt w:val="decimal"/>
      <w:lvlText w:val="%4"/>
      <w:lvlJc w:val="left"/>
      <w:pPr>
        <w:ind w:left="2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4685CD6">
      <w:start w:val="1"/>
      <w:numFmt w:val="lowerLetter"/>
      <w:lvlText w:val="%5"/>
      <w:lvlJc w:val="left"/>
      <w:pPr>
        <w:ind w:left="3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6B89E44">
      <w:start w:val="1"/>
      <w:numFmt w:val="lowerRoman"/>
      <w:lvlText w:val="%6"/>
      <w:lvlJc w:val="left"/>
      <w:pPr>
        <w:ind w:left="4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CBA6E10">
      <w:start w:val="1"/>
      <w:numFmt w:val="decimal"/>
      <w:lvlText w:val="%7"/>
      <w:lvlJc w:val="left"/>
      <w:pPr>
        <w:ind w:left="5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C98337E">
      <w:start w:val="1"/>
      <w:numFmt w:val="lowerLetter"/>
      <w:lvlText w:val="%8"/>
      <w:lvlJc w:val="left"/>
      <w:pPr>
        <w:ind w:left="5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438440C">
      <w:start w:val="1"/>
      <w:numFmt w:val="lowerRoman"/>
      <w:lvlText w:val="%9"/>
      <w:lvlJc w:val="left"/>
      <w:pPr>
        <w:ind w:left="6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673726A"/>
    <w:multiLevelType w:val="hybridMultilevel"/>
    <w:tmpl w:val="5D8C32DC"/>
    <w:lvl w:ilvl="0" w:tplc="6854D3AE">
      <w:start w:val="7"/>
      <w:numFmt w:val="decimal"/>
      <w:lvlText w:val="%1.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0307796">
      <w:start w:val="1"/>
      <w:numFmt w:val="lowerLetter"/>
      <w:lvlText w:val="%2"/>
      <w:lvlJc w:val="left"/>
      <w:pPr>
        <w:ind w:left="1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40C397A">
      <w:start w:val="1"/>
      <w:numFmt w:val="lowerRoman"/>
      <w:lvlText w:val="%3"/>
      <w:lvlJc w:val="left"/>
      <w:pPr>
        <w:ind w:left="2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91247E4">
      <w:start w:val="1"/>
      <w:numFmt w:val="decimal"/>
      <w:lvlText w:val="%4"/>
      <w:lvlJc w:val="left"/>
      <w:pPr>
        <w:ind w:left="2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D1896AA">
      <w:start w:val="1"/>
      <w:numFmt w:val="lowerLetter"/>
      <w:lvlText w:val="%5"/>
      <w:lvlJc w:val="left"/>
      <w:pPr>
        <w:ind w:left="3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0449FDE">
      <w:start w:val="1"/>
      <w:numFmt w:val="lowerRoman"/>
      <w:lvlText w:val="%6"/>
      <w:lvlJc w:val="left"/>
      <w:pPr>
        <w:ind w:left="4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FEACC22">
      <w:start w:val="1"/>
      <w:numFmt w:val="decimal"/>
      <w:lvlText w:val="%7"/>
      <w:lvlJc w:val="left"/>
      <w:pPr>
        <w:ind w:left="4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D2E0BD2">
      <w:start w:val="1"/>
      <w:numFmt w:val="lowerLetter"/>
      <w:lvlText w:val="%8"/>
      <w:lvlJc w:val="left"/>
      <w:pPr>
        <w:ind w:left="5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4ACAA94">
      <w:start w:val="1"/>
      <w:numFmt w:val="lowerRoman"/>
      <w:lvlText w:val="%9"/>
      <w:lvlJc w:val="left"/>
      <w:pPr>
        <w:ind w:left="6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45"/>
    <w:rsid w:val="000140AC"/>
    <w:rsid w:val="00075945"/>
    <w:rsid w:val="00C03495"/>
    <w:rsid w:val="00C6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302FD"/>
  <w15:docId w15:val="{A870784E-2476-4875-A7B7-C3E7CC47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48" w:lineRule="auto"/>
      <w:ind w:left="10" w:right="60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5"/>
      <w:ind w:left="3954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 w:line="265" w:lineRule="auto"/>
      <w:ind w:left="10" w:right="605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link w:val="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10">
    <w:name w:val="Заглавие 1 Знак"/>
    <w:link w:val="1"/>
    <w:rPr>
      <w:rFonts w:ascii="Times New Roman" w:eastAsia="Times New Roman" w:hAnsi="Times New Roman" w:cs="Times New Roman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658.jpg"/><Relationship Id="rId11" Type="http://schemas.openxmlformats.org/officeDocument/2006/relationships/image" Target="media/image6.jpg"/><Relationship Id="rId5" Type="http://schemas.openxmlformats.org/officeDocument/2006/relationships/image" Target="media/image1.jpg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981</Words>
  <Characters>5592</Characters>
  <Application>Microsoft Office Word</Application>
  <DocSecurity>0</DocSecurity>
  <Lines>46</Lines>
  <Paragraphs>13</Paragraphs>
  <ScaleCrop>false</ScaleCrop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Iliev</dc:creator>
  <cp:keywords/>
  <cp:lastModifiedBy>Vladimir Iliev</cp:lastModifiedBy>
  <cp:revision>3</cp:revision>
  <dcterms:created xsi:type="dcterms:W3CDTF">2021-10-05T10:59:00Z</dcterms:created>
  <dcterms:modified xsi:type="dcterms:W3CDTF">2021-10-05T11:01:00Z</dcterms:modified>
</cp:coreProperties>
</file>