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82" w:rsidRDefault="00CF2582" w:rsidP="00CF2582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 чл. 4, ал. 1</w:t>
      </w:r>
    </w:p>
    <w:p w:rsidR="00CF2582" w:rsidRDefault="00CF2582" w:rsidP="00CF258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CF2582" w:rsidRDefault="00CF2582" w:rsidP="00CF25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CF2582" w:rsidRDefault="00CF2582" w:rsidP="00CF2582">
      <w:pPr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CF2582" w:rsidRDefault="00CF2582" w:rsidP="00CF25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CF2582" w:rsidRDefault="00CF2582" w:rsidP="00CF2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CF2582" w:rsidRDefault="00CF2582" w:rsidP="00A44CD0">
      <w:pPr>
        <w:spacing w:before="8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:rsidR="00CF2582" w:rsidRDefault="00CF2582" w:rsidP="00CF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4B65F8" w:rsidRDefault="004B65F8" w:rsidP="001D10D7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97AC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………………………</w:t>
      </w:r>
      <w:r w:rsidR="00FF2B7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„</w:t>
      </w:r>
      <w:r w:rsidR="00A97AC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ЕРБИЛ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“ </w:t>
      </w:r>
      <w:r w:rsidR="00A97ACA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ЕОО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Д, </w:t>
      </w:r>
      <w:bookmarkStart w:id="0" w:name="_GoBack"/>
      <w:bookmarkEnd w:id="0"/>
    </w:p>
    <w:p w:rsidR="004B65F8" w:rsidRDefault="004B65F8" w:rsidP="004B65F8">
      <w:pPr>
        <w:tabs>
          <w:tab w:val="left" w:pos="141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УВАЖАЕМА Г-ЖО ДИРЕКТОР,</w:t>
      </w:r>
    </w:p>
    <w:p w:rsidR="004B65F8" w:rsidRDefault="004B65F8" w:rsidP="004B65F8">
      <w:pPr>
        <w:spacing w:before="24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„</w:t>
      </w:r>
      <w:r w:rsidR="004B001A">
        <w:rPr>
          <w:rFonts w:ascii="Times New Roman" w:eastAsia="Times New Roman" w:hAnsi="Times New Roman" w:cs="Times New Roman"/>
          <w:sz w:val="26"/>
          <w:szCs w:val="26"/>
          <w:lang w:eastAsia="bg-BG"/>
        </w:rPr>
        <w:t>ЕРБИЛ 1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“ </w:t>
      </w:r>
      <w:r w:rsidR="004B001A">
        <w:rPr>
          <w:rFonts w:ascii="Times New Roman" w:eastAsia="Times New Roman" w:hAnsi="Times New Roman" w:cs="Times New Roman"/>
          <w:sz w:val="26"/>
          <w:szCs w:val="26"/>
          <w:lang w:eastAsia="bg-BG"/>
        </w:rPr>
        <w:t>ЕОО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има следното инвестиционно предложение: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B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Шоурум, склад и проектен сондажен кладенец</w:t>
      </w:r>
      <w:r w:rsidR="00A12E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ПИ </w:t>
      </w:r>
      <w:r w:rsidR="004B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06447.10.185 землище</w:t>
      </w:r>
      <w:r w:rsidR="00D050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717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с.</w:t>
      </w:r>
      <w:r w:rsidR="00732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Брестник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община </w:t>
      </w:r>
      <w:r w:rsidR="004B00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Родоп</w:t>
      </w:r>
      <w:r w:rsidR="00B717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област Пловдив.</w:t>
      </w:r>
    </w:p>
    <w:p w:rsidR="004B65F8" w:rsidRDefault="004B65F8" w:rsidP="004B65F8">
      <w:pPr>
        <w:spacing w:before="24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4B65F8" w:rsidRDefault="004B65F8" w:rsidP="004B65F8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Резюме на предложението:</w:t>
      </w:r>
    </w:p>
    <w:p w:rsidR="00464285" w:rsidRPr="00DD0AEC" w:rsidRDefault="00DD0AEC" w:rsidP="000F77FF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 е ново и предвижда изграждане на Шоурум, склад и проектен сондажен кладенец в ПИ 06447.10.185 с обща площ 2044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 УПИ</w:t>
      </w:r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010040 – търг., </w:t>
      </w:r>
      <w:proofErr w:type="spellStart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обсл</w:t>
      </w:r>
      <w:proofErr w:type="spellEnd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скл</w:t>
      </w:r>
      <w:proofErr w:type="spellEnd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</w:t>
      </w:r>
      <w:proofErr w:type="spellEnd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– шоурум и ТП по ПУП на с. Брестник, местност „изворите“, землище с. Брестник, община Родопи, област Пловдив. Имотът </w:t>
      </w:r>
      <w:proofErr w:type="spellStart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граничиот</w:t>
      </w:r>
      <w:proofErr w:type="spellEnd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югозапад с </w:t>
      </w:r>
      <w:proofErr w:type="spellStart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>Асеновградско</w:t>
      </w:r>
      <w:proofErr w:type="spellEnd"/>
      <w:r w:rsidR="00963A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шосе.</w:t>
      </w:r>
    </w:p>
    <w:p w:rsidR="000A4597" w:rsidRDefault="00963AEE" w:rsidP="00732D4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Сградата е едноетажна от метална конструкция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термопанели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 нея ще се разположат шоурум и складове, предлагащи промишлени и опаковани стоки, както и офиси със санитарни възли</w:t>
      </w:r>
      <w:r w:rsidR="000A459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A03CE" w:rsidRPr="007A03CE" w:rsidRDefault="007A03CE" w:rsidP="007A03CE">
      <w:pPr>
        <w:widowControl w:val="0"/>
        <w:autoSpaceDE w:val="0"/>
        <w:autoSpaceDN w:val="0"/>
        <w:adjustRightInd w:val="0"/>
        <w:spacing w:after="0" w:line="288" w:lineRule="auto"/>
        <w:ind w:firstLine="52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03CE">
        <w:rPr>
          <w:rFonts w:ascii="Times New Roman" w:eastAsiaTheme="minorEastAsia" w:hAnsi="Times New Roman" w:cs="Times New Roman"/>
          <w:sz w:val="24"/>
          <w:szCs w:val="24"/>
        </w:rPr>
        <w:t xml:space="preserve">За осигуряване на вода за </w:t>
      </w:r>
      <w:r>
        <w:rPr>
          <w:rFonts w:ascii="Times New Roman" w:eastAsiaTheme="minorEastAsia" w:hAnsi="Times New Roman" w:cs="Times New Roman"/>
          <w:sz w:val="24"/>
          <w:szCs w:val="24"/>
        </w:rPr>
        <w:t>„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>други цели</w:t>
      </w:r>
      <w:r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 xml:space="preserve"> – измиване на външни и вътрешни п</w:t>
      </w:r>
      <w:r>
        <w:rPr>
          <w:rFonts w:ascii="Times New Roman" w:eastAsiaTheme="minorEastAsia" w:hAnsi="Times New Roman" w:cs="Times New Roman"/>
          <w:sz w:val="24"/>
          <w:szCs w:val="24"/>
        </w:rPr>
        <w:t>л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>ощадки, поливане на зелени площи и противопожарни нужди се предвижда изграждане на собствен водоизточник (СК) с дълбочина 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5 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 xml:space="preserve">м и диаметър </w:t>
      </w:r>
      <w:r>
        <w:rPr>
          <w:rFonts w:ascii="Calibri" w:eastAsiaTheme="minorEastAsia" w:hAnsi="Calibri" w:cs="Times New Roman"/>
          <w:sz w:val="24"/>
          <w:szCs w:val="24"/>
        </w:rPr>
        <w:t>Ø</w:t>
      </w:r>
      <w:r w:rsidR="00BC3258">
        <w:rPr>
          <w:rFonts w:ascii="Times New Roman" w:eastAsiaTheme="minorEastAsia" w:hAnsi="Times New Roman" w:cs="Times New Roman"/>
          <w:sz w:val="24"/>
          <w:szCs w:val="24"/>
          <w:lang w:val="en-US"/>
        </w:rPr>
        <w:t>16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0 от </w:t>
      </w:r>
      <w:r w:rsidRPr="007A03C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PVC 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>тръби.</w:t>
      </w:r>
    </w:p>
    <w:p w:rsidR="007A03CE" w:rsidRPr="007A03CE" w:rsidRDefault="007A03CE" w:rsidP="007A03CE">
      <w:pPr>
        <w:widowControl w:val="0"/>
        <w:autoSpaceDE w:val="0"/>
        <w:autoSpaceDN w:val="0"/>
        <w:adjustRightInd w:val="0"/>
        <w:spacing w:after="0" w:line="288" w:lineRule="auto"/>
        <w:ind w:firstLine="522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A03CE">
        <w:rPr>
          <w:rFonts w:ascii="Times New Roman" w:eastAsiaTheme="minorEastAsia" w:hAnsi="Times New Roman" w:cs="Times New Roman"/>
          <w:sz w:val="24"/>
          <w:szCs w:val="24"/>
        </w:rPr>
        <w:t>В района на обекта няма и</w:t>
      </w:r>
      <w:r>
        <w:rPr>
          <w:rFonts w:ascii="Times New Roman" w:eastAsiaTheme="minorEastAsia" w:hAnsi="Times New Roman" w:cs="Times New Roman"/>
          <w:sz w:val="24"/>
          <w:szCs w:val="24"/>
        </w:rPr>
        <w:t>зградена Ви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>К мрежа, експлоатирана от „ВиК“ ЕООД – гр.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>Пловдив. Питейното водоснабдяване на персонала от 6 човека ще се осъществява</w:t>
      </w:r>
      <w:r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A03CE">
        <w:rPr>
          <w:rFonts w:ascii="Times New Roman" w:eastAsiaTheme="minorEastAsia" w:hAnsi="Times New Roman" w:cs="Times New Roman"/>
          <w:sz w:val="24"/>
          <w:szCs w:val="24"/>
        </w:rPr>
        <w:t xml:space="preserve"> чрез </w:t>
      </w:r>
      <w:proofErr w:type="spellStart"/>
      <w:r w:rsidRPr="007A03CE">
        <w:rPr>
          <w:rFonts w:ascii="Times New Roman" w:eastAsiaTheme="minorEastAsia" w:hAnsi="Times New Roman" w:cs="Times New Roman"/>
          <w:sz w:val="24"/>
          <w:szCs w:val="24"/>
        </w:rPr>
        <w:t>диспенсъри</w:t>
      </w:r>
      <w:proofErr w:type="spellEnd"/>
      <w:r w:rsidRPr="007A03CE">
        <w:rPr>
          <w:rFonts w:ascii="Times New Roman" w:eastAsiaTheme="minorEastAsia" w:hAnsi="Times New Roman" w:cs="Times New Roman"/>
          <w:sz w:val="24"/>
          <w:szCs w:val="24"/>
        </w:rPr>
        <w:t xml:space="preserve"> за вода, доставяна от лицензиран доставчик, чрез сключване на договор.</w:t>
      </w:r>
    </w:p>
    <w:p w:rsidR="007A03CE" w:rsidRPr="000A4597" w:rsidRDefault="007A03CE" w:rsidP="007A03CE">
      <w:pPr>
        <w:spacing w:after="0" w:line="288" w:lineRule="auto"/>
        <w:ind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03CE">
        <w:rPr>
          <w:rFonts w:ascii="Times New Roman" w:eastAsiaTheme="minorEastAsia" w:hAnsi="Times New Roman" w:cs="Times New Roman"/>
          <w:sz w:val="24"/>
          <w:szCs w:val="24"/>
        </w:rPr>
        <w:t>Електрозахранването ще се осъществи от електроразпределителната мрежа на ЕВН – България, съгласно издаденото разрешително за присъединяване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дейност съгласно приложение № 1 или приложение № 2 към Закона за опазване на околната среда (ЗООС)</w:t>
      </w:r>
    </w:p>
    <w:p w:rsidR="004B65F8" w:rsidRDefault="004B65F8" w:rsidP="004B65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 Описание на основните процеси, капацитет,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F34707" w:rsidRPr="00F34707" w:rsidRDefault="00F34707" w:rsidP="00F34707">
      <w:pPr>
        <w:widowControl w:val="0"/>
        <w:autoSpaceDE w:val="0"/>
        <w:autoSpaceDN w:val="0"/>
        <w:adjustRightInd w:val="0"/>
        <w:spacing w:after="0" w:line="288" w:lineRule="auto"/>
        <w:ind w:left="96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Обектът се разполага в поземлен имот с идентификатор </w:t>
      </w:r>
      <w:r>
        <w:rPr>
          <w:rFonts w:ascii="Times New Roman" w:eastAsiaTheme="minorEastAsia" w:hAnsi="Times New Roman" w:cs="Times New Roman"/>
          <w:sz w:val="24"/>
          <w:szCs w:val="24"/>
        </w:rPr>
        <w:t>06447.10.185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, представляващ УПИ </w:t>
      </w:r>
      <w:r w:rsidR="00A94898">
        <w:rPr>
          <w:rFonts w:ascii="Times New Roman" w:eastAsiaTheme="minorEastAsia" w:hAnsi="Times New Roman" w:cs="Times New Roman"/>
          <w:sz w:val="24"/>
          <w:szCs w:val="24"/>
        </w:rPr>
        <w:t xml:space="preserve">010040 – търг. </w:t>
      </w:r>
      <w:proofErr w:type="spellStart"/>
      <w:r w:rsidR="00A94898">
        <w:rPr>
          <w:rFonts w:ascii="Times New Roman" w:eastAsiaTheme="minorEastAsia" w:hAnsi="Times New Roman" w:cs="Times New Roman"/>
          <w:sz w:val="24"/>
          <w:szCs w:val="24"/>
        </w:rPr>
        <w:t>обсл</w:t>
      </w:r>
      <w:proofErr w:type="spellEnd"/>
      <w:r w:rsidR="00A9489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94898">
        <w:rPr>
          <w:rFonts w:ascii="Times New Roman" w:eastAsiaTheme="minorEastAsia" w:hAnsi="Times New Roman" w:cs="Times New Roman"/>
          <w:sz w:val="24"/>
          <w:szCs w:val="24"/>
        </w:rPr>
        <w:t>скл</w:t>
      </w:r>
      <w:proofErr w:type="spellEnd"/>
      <w:r w:rsidR="00A9489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A94898">
        <w:rPr>
          <w:rFonts w:ascii="Times New Roman" w:eastAsiaTheme="minorEastAsia" w:hAnsi="Times New Roman" w:cs="Times New Roman"/>
          <w:sz w:val="24"/>
          <w:szCs w:val="24"/>
        </w:rPr>
        <w:t>дейн</w:t>
      </w:r>
      <w:proofErr w:type="spellEnd"/>
      <w:r w:rsidR="00A94898">
        <w:rPr>
          <w:rFonts w:ascii="Times New Roman" w:eastAsiaTheme="minorEastAsia" w:hAnsi="Times New Roman" w:cs="Times New Roman"/>
          <w:sz w:val="24"/>
          <w:szCs w:val="24"/>
        </w:rPr>
        <w:t>. – шоурум и ТП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w:r w:rsidR="00A94898">
        <w:rPr>
          <w:rFonts w:ascii="Times New Roman" w:eastAsiaTheme="minorEastAsia" w:hAnsi="Times New Roman" w:cs="Times New Roman"/>
          <w:sz w:val="24"/>
          <w:szCs w:val="24"/>
        </w:rPr>
        <w:t>ПУП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="00A94898">
        <w:rPr>
          <w:rFonts w:ascii="Times New Roman" w:eastAsiaTheme="minorEastAsia" w:hAnsi="Times New Roman" w:cs="Times New Roman"/>
          <w:sz w:val="24"/>
          <w:szCs w:val="24"/>
        </w:rPr>
        <w:t xml:space="preserve">с. Брестник, местност „Изворите“ 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с обща площ </w:t>
      </w:r>
      <w:r w:rsidR="00B723D6">
        <w:rPr>
          <w:rFonts w:ascii="Times New Roman" w:eastAsiaTheme="minorEastAsia" w:hAnsi="Times New Roman" w:cs="Times New Roman"/>
          <w:sz w:val="24"/>
          <w:szCs w:val="24"/>
        </w:rPr>
        <w:t>2044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м</w:t>
      </w:r>
      <w:r w:rsidRPr="00F3470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. В него ще се изгради </w:t>
      </w:r>
      <w:r w:rsidR="00B723D6">
        <w:rPr>
          <w:rFonts w:ascii="Times New Roman" w:eastAsiaTheme="minorEastAsia" w:hAnsi="Times New Roman" w:cs="Times New Roman"/>
          <w:sz w:val="24"/>
          <w:szCs w:val="24"/>
        </w:rPr>
        <w:t>едно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етажна сграда </w:t>
      </w:r>
      <w:r w:rsidR="00B723D6">
        <w:rPr>
          <w:rFonts w:ascii="Times New Roman" w:eastAsiaTheme="minorEastAsia" w:hAnsi="Times New Roman" w:cs="Times New Roman"/>
          <w:sz w:val="24"/>
          <w:szCs w:val="24"/>
        </w:rPr>
        <w:t xml:space="preserve">от метална конструкция и </w:t>
      </w:r>
      <w:proofErr w:type="spellStart"/>
      <w:r w:rsidR="00B723D6">
        <w:rPr>
          <w:rFonts w:ascii="Times New Roman" w:eastAsiaTheme="minorEastAsia" w:hAnsi="Times New Roman" w:cs="Times New Roman"/>
          <w:sz w:val="24"/>
          <w:szCs w:val="24"/>
        </w:rPr>
        <w:t>термопанели</w:t>
      </w:r>
      <w:proofErr w:type="spellEnd"/>
      <w:r w:rsidRPr="00F34707">
        <w:rPr>
          <w:rFonts w:ascii="Times New Roman" w:eastAsiaTheme="minorEastAsia" w:hAnsi="Times New Roman" w:cs="Times New Roman"/>
          <w:sz w:val="24"/>
          <w:szCs w:val="24"/>
        </w:rPr>
        <w:t>, в която се разполагат шоурум</w:t>
      </w:r>
      <w:r w:rsidR="00B723D6">
        <w:rPr>
          <w:rFonts w:ascii="Times New Roman" w:eastAsiaTheme="minorEastAsia" w:hAnsi="Times New Roman" w:cs="Times New Roman"/>
          <w:sz w:val="24"/>
          <w:szCs w:val="24"/>
        </w:rPr>
        <w:t xml:space="preserve"> – магазин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със складове, предлагащи </w:t>
      </w:r>
      <w:r w:rsidR="00B723D6">
        <w:rPr>
          <w:rFonts w:ascii="Times New Roman" w:eastAsiaTheme="minorEastAsia" w:hAnsi="Times New Roman" w:cs="Times New Roman"/>
          <w:sz w:val="24"/>
          <w:szCs w:val="24"/>
        </w:rPr>
        <w:t>промишлени и опаковани стоки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>, както и офиси със санитарни възли.</w:t>
      </w:r>
    </w:p>
    <w:p w:rsidR="00F34707" w:rsidRPr="00F34707" w:rsidRDefault="00F34707" w:rsidP="00F34707">
      <w:pPr>
        <w:widowControl w:val="0"/>
        <w:autoSpaceDE w:val="0"/>
        <w:autoSpaceDN w:val="0"/>
        <w:adjustRightInd w:val="0"/>
        <w:spacing w:after="0" w:line="288" w:lineRule="auto"/>
        <w:ind w:left="96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707">
        <w:rPr>
          <w:rFonts w:ascii="Times New Roman" w:eastAsiaTheme="minorEastAsia" w:hAnsi="Times New Roman" w:cs="Times New Roman"/>
          <w:sz w:val="24"/>
          <w:szCs w:val="24"/>
        </w:rPr>
        <w:t>Дейността на обекта е свързана с излагането на мостри, с цел запознаване на клиентите с тях и търговска дейност.</w:t>
      </w:r>
    </w:p>
    <w:p w:rsidR="00F34707" w:rsidRPr="00F34707" w:rsidRDefault="00F34707" w:rsidP="00F34707">
      <w:pPr>
        <w:widowControl w:val="0"/>
        <w:autoSpaceDE w:val="0"/>
        <w:autoSpaceDN w:val="0"/>
        <w:adjustRightInd w:val="0"/>
        <w:spacing w:after="0" w:line="288" w:lineRule="auto"/>
        <w:ind w:left="96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707">
        <w:rPr>
          <w:rFonts w:ascii="Times New Roman" w:eastAsiaTheme="minorEastAsia" w:hAnsi="Times New Roman" w:cs="Times New Roman"/>
          <w:sz w:val="24"/>
          <w:szCs w:val="24"/>
        </w:rPr>
        <w:t>Водата за измиване на външни и вътрешни площадки, поливане на зелените площи и противопожарни нужди на обекта, ще се осигури</w:t>
      </w:r>
      <w:r w:rsidR="004D1C0D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чрез изграждането на собствен водоизточник – СК с дълбочина 2</w:t>
      </w:r>
      <w:r w:rsidR="004D1C0D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м, обсаден с </w:t>
      </w:r>
      <w:r w:rsidRPr="00F34707">
        <w:rPr>
          <w:rFonts w:ascii="Times New Roman" w:eastAsiaTheme="minorEastAsia" w:hAnsi="Times New Roman" w:cs="Times New Roman"/>
          <w:sz w:val="24"/>
          <w:szCs w:val="24"/>
          <w:lang w:val="en-US"/>
        </w:rPr>
        <w:t>PVC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D1C0D">
        <w:rPr>
          <w:rFonts w:ascii="Calibri" w:eastAsiaTheme="minorEastAsia" w:hAnsi="Calibri" w:cs="Times New Roman"/>
          <w:sz w:val="24"/>
          <w:szCs w:val="24"/>
        </w:rPr>
        <w:t>Ø</w:t>
      </w:r>
      <w:r w:rsidR="004D1C0D">
        <w:rPr>
          <w:rFonts w:ascii="Times New Roman" w:eastAsiaTheme="minorEastAsia" w:hAnsi="Times New Roman" w:cs="Times New Roman"/>
          <w:sz w:val="24"/>
          <w:szCs w:val="24"/>
        </w:rPr>
        <w:t>160.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F34707">
        <w:rPr>
          <w:rFonts w:ascii="Times New Roman" w:eastAsiaTheme="minorEastAsia" w:hAnsi="Times New Roman" w:cs="Times New Roman"/>
          <w:sz w:val="24"/>
          <w:szCs w:val="24"/>
        </w:rPr>
        <w:t>Водовземането</w:t>
      </w:r>
      <w:proofErr w:type="spellEnd"/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ще става от </w:t>
      </w:r>
      <w:proofErr w:type="spellStart"/>
      <w:r w:rsidRPr="00F34707">
        <w:rPr>
          <w:rFonts w:ascii="Times New Roman" w:eastAsiaTheme="minorEastAsia" w:hAnsi="Times New Roman" w:cs="Times New Roman"/>
          <w:sz w:val="24"/>
          <w:szCs w:val="24"/>
        </w:rPr>
        <w:t>кватернерния</w:t>
      </w:r>
      <w:proofErr w:type="spellEnd"/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водоносен хоризонт. Подземното водно тяло е </w:t>
      </w:r>
      <w:r w:rsidRPr="00F34707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BG3G000000Q013 – </w:t>
      </w:r>
      <w:r w:rsidR="004D1C0D">
        <w:rPr>
          <w:rFonts w:ascii="Times New Roman" w:eastAsiaTheme="minorEastAsia" w:hAnsi="Times New Roman" w:cs="Times New Roman"/>
          <w:sz w:val="24"/>
          <w:szCs w:val="24"/>
        </w:rPr>
        <w:t>„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>Порови води в Кватернер – Горнотракийска низина</w:t>
      </w:r>
      <w:r w:rsidR="004D1C0D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34707" w:rsidRPr="00F34707" w:rsidRDefault="00F34707" w:rsidP="00F34707">
      <w:pPr>
        <w:widowControl w:val="0"/>
        <w:autoSpaceDE w:val="0"/>
        <w:autoSpaceDN w:val="0"/>
        <w:adjustRightInd w:val="0"/>
        <w:spacing w:after="0" w:line="288" w:lineRule="auto"/>
        <w:ind w:left="96"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707">
        <w:rPr>
          <w:rFonts w:ascii="Times New Roman" w:eastAsiaTheme="minorEastAsia" w:hAnsi="Times New Roman" w:cs="Times New Roman"/>
          <w:sz w:val="24"/>
          <w:szCs w:val="24"/>
        </w:rPr>
        <w:t>По време на изграждането на обекта ще се използват свободните площи на имота.</w:t>
      </w:r>
    </w:p>
    <w:p w:rsidR="00F34707" w:rsidRPr="00F34707" w:rsidRDefault="00F34707" w:rsidP="00F34707">
      <w:pPr>
        <w:widowControl w:val="0"/>
        <w:autoSpaceDE w:val="0"/>
        <w:autoSpaceDN w:val="0"/>
        <w:adjustRightInd w:val="0"/>
        <w:spacing w:after="0" w:line="288" w:lineRule="auto"/>
        <w:ind w:firstLine="52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Изкопите за </w:t>
      </w:r>
      <w:r w:rsidR="004D1C0D">
        <w:rPr>
          <w:rFonts w:ascii="Times New Roman" w:eastAsiaTheme="minorEastAsia" w:hAnsi="Times New Roman" w:cs="Times New Roman"/>
          <w:sz w:val="24"/>
          <w:szCs w:val="24"/>
        </w:rPr>
        <w:t xml:space="preserve">фундаментите на </w:t>
      </w:r>
      <w:r w:rsidRPr="00F34707">
        <w:rPr>
          <w:rFonts w:ascii="Times New Roman" w:eastAsiaTheme="minorEastAsia" w:hAnsi="Times New Roman" w:cs="Times New Roman"/>
          <w:sz w:val="24"/>
          <w:szCs w:val="24"/>
        </w:rPr>
        <w:t>сградата ще се извършват с багер, без използване на взрив.</w:t>
      </w:r>
    </w:p>
    <w:p w:rsidR="004B65F8" w:rsidRDefault="00F34707" w:rsidP="004D1C0D">
      <w:pPr>
        <w:spacing w:after="0" w:line="288" w:lineRule="auto"/>
        <w:ind w:firstLine="522"/>
        <w:jc w:val="both"/>
        <w:rPr>
          <w:rFonts w:ascii="Arial" w:hAnsi="Arial" w:cs="Arial"/>
        </w:rPr>
      </w:pPr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Имотът граничи с </w:t>
      </w:r>
      <w:proofErr w:type="spellStart"/>
      <w:r w:rsidR="00BC3258">
        <w:rPr>
          <w:rFonts w:ascii="Times New Roman" w:eastAsiaTheme="minorEastAsia" w:hAnsi="Times New Roman" w:cs="Times New Roman"/>
          <w:sz w:val="24"/>
          <w:szCs w:val="24"/>
        </w:rPr>
        <w:t>Асеновградско</w:t>
      </w:r>
      <w:proofErr w:type="spellEnd"/>
      <w:r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шосе. Няма необходимост от изграждане на нова техническа инфраструктура</w:t>
      </w:r>
      <w:r w:rsidR="00B07549">
        <w:rPr>
          <w:rFonts w:ascii="Times New Roman" w:hAnsi="Times New Roman" w:cs="Times New Roman"/>
          <w:sz w:val="24"/>
          <w:szCs w:val="24"/>
        </w:rPr>
        <w:t>.</w:t>
      </w:r>
    </w:p>
    <w:p w:rsidR="004B65F8" w:rsidRDefault="004B65F8" w:rsidP="004B65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 Връзка с други съществуващи и одобрени с устройствен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4B65F8" w:rsidRDefault="004D1C0D" w:rsidP="004D1C0D">
      <w:pPr>
        <w:spacing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4D1C0D">
        <w:rPr>
          <w:rFonts w:ascii="Times New Roman" w:eastAsiaTheme="minorEastAsia" w:hAnsi="Times New Roman" w:cs="Times New Roman"/>
          <w:sz w:val="24"/>
          <w:szCs w:val="24"/>
        </w:rPr>
        <w:t>Настоящото</w:t>
      </w:r>
      <w:r>
        <w:rPr>
          <w:rFonts w:ascii="Times New Roman" w:hAnsi="Times New Roman"/>
          <w:sz w:val="24"/>
          <w:szCs w:val="24"/>
        </w:rPr>
        <w:t xml:space="preserve"> инвестиционно предложение няма пряка връзка с други съществуващи и одобрени с устройствен или друг план дейности в обхвата на въздействие на обекта</w:t>
      </w:r>
      <w:r w:rsidR="004B65F8">
        <w:rPr>
          <w:rFonts w:ascii="Times New Roman" w:hAnsi="Times New Roman" w:cs="Times New Roman"/>
          <w:sz w:val="24"/>
          <w:szCs w:val="24"/>
        </w:rPr>
        <w:t>.</w:t>
      </w:r>
    </w:p>
    <w:p w:rsidR="004B65F8" w:rsidRDefault="004B65F8" w:rsidP="004D1C0D">
      <w:pPr>
        <w:spacing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4D1C0D">
        <w:rPr>
          <w:rFonts w:ascii="Times New Roman" w:eastAsiaTheme="minorEastAsia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реализация на ИП са необходими:</w:t>
      </w:r>
    </w:p>
    <w:p w:rsidR="004B65F8" w:rsidRDefault="004B65F8" w:rsidP="004D1C0D">
      <w:pPr>
        <w:pStyle w:val="a3"/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 реда на Глава VI от ЗООС за преценка на необходимостта от извършване на ОВОС и по реда на чл. 31 от ЗБР и Наредбата за условията и реда за извършване на оценка на съвместимостта на планове, програми и проекти и ИП с предмета и целите на опазване на защитените зони, издадено от Директора на РИОСВ – Пловдив;</w:t>
      </w:r>
    </w:p>
    <w:p w:rsidR="004B65F8" w:rsidRPr="004D1C0D" w:rsidRDefault="007C3B20" w:rsidP="004D1C0D">
      <w:pPr>
        <w:pStyle w:val="a3"/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Разрешително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подзем</w:t>
      </w:r>
      <w:r w:rsidR="00E918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 вод</w:t>
      </w:r>
      <w:r w:rsidR="00E918F9">
        <w:rPr>
          <w:rFonts w:ascii="Times New Roman" w:hAnsi="Times New Roman" w:cs="Times New Roman"/>
          <w:sz w:val="24"/>
          <w:szCs w:val="24"/>
        </w:rPr>
        <w:t>ен обект</w:t>
      </w:r>
      <w:r w:rsidR="004B65F8">
        <w:rPr>
          <w:rFonts w:ascii="Times New Roman" w:hAnsi="Times New Roman" w:cs="Times New Roman"/>
          <w:sz w:val="24"/>
          <w:szCs w:val="24"/>
        </w:rPr>
        <w:t xml:space="preserve"> – от </w:t>
      </w:r>
      <w:r w:rsidR="004D1C0D">
        <w:rPr>
          <w:rFonts w:ascii="Times New Roman" w:hAnsi="Times New Roman" w:cs="Times New Roman"/>
          <w:sz w:val="24"/>
          <w:szCs w:val="24"/>
        </w:rPr>
        <w:t>Директора на БДУВ ИБР – Пловдив;</w:t>
      </w:r>
    </w:p>
    <w:p w:rsidR="004D1C0D" w:rsidRDefault="004D1C0D" w:rsidP="004D1C0D">
      <w:pPr>
        <w:pStyle w:val="a3"/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Разрешение за строеж – от Община Родопи.</w:t>
      </w:r>
    </w:p>
    <w:p w:rsidR="004B65F8" w:rsidRDefault="004B65F8" w:rsidP="004B65F8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 Местоположение:</w:t>
      </w:r>
    </w:p>
    <w:p w:rsidR="004B65F8" w:rsidRDefault="004B65F8" w:rsidP="004B65F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4B65F8" w:rsidRDefault="004D1C0D" w:rsidP="004D1C0D">
      <w:pPr>
        <w:spacing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Обектът, предмет на настоящото ИП е </w:t>
      </w:r>
      <w:r w:rsidR="00643AE0">
        <w:rPr>
          <w:rFonts w:ascii="Times New Roman" w:hAnsi="Times New Roman"/>
          <w:sz w:val="24"/>
          <w:szCs w:val="24"/>
        </w:rPr>
        <w:t>в землището на с. Брестник, местност „Изворите“</w:t>
      </w:r>
      <w:r>
        <w:rPr>
          <w:rFonts w:ascii="Times New Roman" w:hAnsi="Times New Roman"/>
          <w:sz w:val="24"/>
          <w:szCs w:val="24"/>
        </w:rPr>
        <w:t xml:space="preserve">, община </w:t>
      </w:r>
      <w:r w:rsidR="00643AE0">
        <w:rPr>
          <w:rFonts w:ascii="Times New Roman" w:hAnsi="Times New Roman"/>
          <w:sz w:val="24"/>
          <w:szCs w:val="24"/>
        </w:rPr>
        <w:t>Родопи</w:t>
      </w:r>
      <w:r>
        <w:rPr>
          <w:rFonts w:ascii="Times New Roman" w:hAnsi="Times New Roman"/>
          <w:sz w:val="24"/>
          <w:szCs w:val="24"/>
        </w:rPr>
        <w:t xml:space="preserve">. Площадката на обекта представлява поземлен имот с идентификатор </w:t>
      </w:r>
      <w:r w:rsidR="00643AE0">
        <w:rPr>
          <w:rFonts w:ascii="Times New Roman" w:hAnsi="Times New Roman"/>
          <w:sz w:val="24"/>
          <w:szCs w:val="24"/>
        </w:rPr>
        <w:t>06447.10.185</w:t>
      </w:r>
      <w:r>
        <w:rPr>
          <w:rFonts w:ascii="Times New Roman" w:hAnsi="Times New Roman"/>
          <w:sz w:val="24"/>
          <w:szCs w:val="24"/>
        </w:rPr>
        <w:t xml:space="preserve">, преобразуван в УПИ </w:t>
      </w:r>
      <w:r w:rsidR="00643AE0">
        <w:rPr>
          <w:rFonts w:ascii="Times New Roman" w:hAnsi="Times New Roman"/>
          <w:sz w:val="24"/>
          <w:szCs w:val="24"/>
        </w:rPr>
        <w:t>010040</w:t>
      </w:r>
      <w:r>
        <w:rPr>
          <w:rFonts w:ascii="Times New Roman" w:hAnsi="Times New Roman"/>
          <w:sz w:val="24"/>
          <w:szCs w:val="24"/>
        </w:rPr>
        <w:t xml:space="preserve"> </w:t>
      </w:r>
      <w:r w:rsidR="00643AE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43AE0">
        <w:rPr>
          <w:rFonts w:ascii="Times New Roman" w:eastAsiaTheme="minorEastAsia" w:hAnsi="Times New Roman" w:cs="Times New Roman"/>
          <w:sz w:val="24"/>
          <w:szCs w:val="24"/>
        </w:rPr>
        <w:t xml:space="preserve">търг. </w:t>
      </w:r>
      <w:proofErr w:type="spellStart"/>
      <w:r w:rsidR="00643AE0">
        <w:rPr>
          <w:rFonts w:ascii="Times New Roman" w:eastAsiaTheme="minorEastAsia" w:hAnsi="Times New Roman" w:cs="Times New Roman"/>
          <w:sz w:val="24"/>
          <w:szCs w:val="24"/>
        </w:rPr>
        <w:t>обсл</w:t>
      </w:r>
      <w:proofErr w:type="spellEnd"/>
      <w:r w:rsidR="00643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643AE0">
        <w:rPr>
          <w:rFonts w:ascii="Times New Roman" w:eastAsiaTheme="minorEastAsia" w:hAnsi="Times New Roman" w:cs="Times New Roman"/>
          <w:sz w:val="24"/>
          <w:szCs w:val="24"/>
        </w:rPr>
        <w:t>скл</w:t>
      </w:r>
      <w:proofErr w:type="spellEnd"/>
      <w:r w:rsidR="00643AE0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="00643AE0">
        <w:rPr>
          <w:rFonts w:ascii="Times New Roman" w:eastAsiaTheme="minorEastAsia" w:hAnsi="Times New Roman" w:cs="Times New Roman"/>
          <w:sz w:val="24"/>
          <w:szCs w:val="24"/>
        </w:rPr>
        <w:t>дейн</w:t>
      </w:r>
      <w:proofErr w:type="spellEnd"/>
      <w:r w:rsidR="00643AE0">
        <w:rPr>
          <w:rFonts w:ascii="Times New Roman" w:eastAsiaTheme="minorEastAsia" w:hAnsi="Times New Roman" w:cs="Times New Roman"/>
          <w:sz w:val="24"/>
          <w:szCs w:val="24"/>
        </w:rPr>
        <w:t>. – шоурум и ТП</w:t>
      </w:r>
      <w:r w:rsidR="00643AE0"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по </w:t>
      </w:r>
      <w:r w:rsidR="00643AE0">
        <w:rPr>
          <w:rFonts w:ascii="Times New Roman" w:eastAsiaTheme="minorEastAsia" w:hAnsi="Times New Roman" w:cs="Times New Roman"/>
          <w:sz w:val="24"/>
          <w:szCs w:val="24"/>
        </w:rPr>
        <w:t>ПУП</w:t>
      </w:r>
      <w:r w:rsidR="00643AE0" w:rsidRPr="00F34707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="00643AE0">
        <w:rPr>
          <w:rFonts w:ascii="Times New Roman" w:eastAsiaTheme="minorEastAsia" w:hAnsi="Times New Roman" w:cs="Times New Roman"/>
          <w:sz w:val="24"/>
          <w:szCs w:val="24"/>
        </w:rPr>
        <w:t>с. Брестник</w:t>
      </w:r>
      <w:r>
        <w:rPr>
          <w:rFonts w:ascii="Times New Roman" w:hAnsi="Times New Roman"/>
          <w:sz w:val="24"/>
          <w:szCs w:val="24"/>
        </w:rPr>
        <w:t xml:space="preserve">. Разположен е </w:t>
      </w:r>
      <w:r w:rsidR="00643AE0">
        <w:rPr>
          <w:rFonts w:ascii="Times New Roman" w:hAnsi="Times New Roman"/>
          <w:sz w:val="24"/>
          <w:szCs w:val="24"/>
        </w:rPr>
        <w:t>североизточно</w:t>
      </w:r>
      <w:r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643AE0">
        <w:rPr>
          <w:rFonts w:ascii="Times New Roman" w:hAnsi="Times New Roman"/>
          <w:sz w:val="24"/>
          <w:szCs w:val="24"/>
        </w:rPr>
        <w:t>Асеновградско</w:t>
      </w:r>
      <w:proofErr w:type="spellEnd"/>
      <w:r w:rsidR="00643AE0">
        <w:rPr>
          <w:rFonts w:ascii="Times New Roman" w:hAnsi="Times New Roman"/>
          <w:sz w:val="24"/>
          <w:szCs w:val="24"/>
        </w:rPr>
        <w:t xml:space="preserve"> шосе</w:t>
      </w:r>
      <w:r w:rsidR="007C3B20">
        <w:rPr>
          <w:rFonts w:ascii="Times New Roman" w:hAnsi="Times New Roman" w:cs="Times New Roman"/>
          <w:sz w:val="24"/>
          <w:szCs w:val="24"/>
        </w:rPr>
        <w:t>.</w:t>
      </w:r>
    </w:p>
    <w:p w:rsidR="00732D49" w:rsidRDefault="00643AE0" w:rsidP="00643AE0">
      <w:pPr>
        <w:spacing w:after="12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Проектният СК се разполага в североизточния край на имота и има следните координатите:</w:t>
      </w:r>
    </w:p>
    <w:tbl>
      <w:tblPr>
        <w:tblW w:w="834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3"/>
        <w:gridCol w:w="1985"/>
        <w:gridCol w:w="1701"/>
        <w:gridCol w:w="1701"/>
        <w:gridCol w:w="1134"/>
      </w:tblGrid>
      <w:tr w:rsidR="0040426B" w:rsidRPr="0040426B" w:rsidTr="00643AE0">
        <w:trPr>
          <w:trHeight w:val="283"/>
          <w:jc w:val="center"/>
        </w:trPr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6B" w:rsidRPr="0040426B" w:rsidRDefault="0040426B" w:rsidP="00404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Геогр</w:t>
            </w:r>
            <w:r w:rsidRPr="00404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афски </w:t>
            </w: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коор</w:t>
            </w:r>
            <w:r w:rsidRPr="00404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WGS 84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26B" w:rsidRPr="0040426B" w:rsidRDefault="0040426B" w:rsidP="00731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Геодезични коор</w:t>
            </w:r>
            <w:r w:rsidRPr="004042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>динати</w:t>
            </w:r>
            <w:r w:rsidR="00643AE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БГС 2005</w:t>
            </w: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129A3" w:rsidRPr="0040426B" w:rsidTr="00643AE0">
        <w:trPr>
          <w:trHeight w:val="283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7E0A90" w:rsidP="007E0A9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7E0A90" w:rsidRDefault="007E0A90" w:rsidP="00404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8129A3" w:rsidP="00404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8129A3" w:rsidP="00404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A3" w:rsidRPr="0040426B" w:rsidRDefault="008129A3" w:rsidP="0040426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</w:p>
        </w:tc>
      </w:tr>
      <w:tr w:rsidR="008129A3" w:rsidRPr="0040426B" w:rsidTr="00643AE0">
        <w:trPr>
          <w:trHeight w:val="283"/>
          <w:jc w:val="center"/>
        </w:trPr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8129A3" w:rsidP="00643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42°</w:t>
            </w:r>
            <w:r w:rsidR="00A27843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05</w:t>
            </w:r>
            <w:r w:rsidRPr="0040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'</w:t>
            </w:r>
            <w:r w:rsidR="00643A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31.48</w:t>
            </w:r>
            <w:r w:rsidRPr="0040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8129A3" w:rsidP="00643A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0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24°</w:t>
            </w:r>
            <w:r w:rsidR="00643A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  <w:r w:rsidRPr="0040426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'</w:t>
            </w:r>
            <w:r w:rsidR="00643A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39.59</w:t>
            </w:r>
            <w:r w:rsidRPr="0040426B">
              <w:rPr>
                <w:rFonts w:ascii="Times New Roman" w:eastAsia="Calibri" w:hAnsi="Times New Roman" w:cs="Times New Roman" w:hint="eastAsia"/>
                <w:sz w:val="24"/>
                <w:szCs w:val="24"/>
                <w:lang w:eastAsia="bg-BG"/>
              </w:rPr>
              <w:t>''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643AE0" w:rsidP="00731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4662111.30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9A3" w:rsidRPr="0040426B" w:rsidRDefault="00643AE0" w:rsidP="00731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441620.77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9A3" w:rsidRPr="0040426B" w:rsidRDefault="00643AE0" w:rsidP="007311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161.46 </w:t>
            </w:r>
            <w:r w:rsidR="00812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</w:t>
            </w:r>
          </w:p>
        </w:tc>
      </w:tr>
    </w:tbl>
    <w:p w:rsidR="00643AE0" w:rsidRDefault="00643AE0" w:rsidP="00643AE0">
      <w:pPr>
        <w:spacing w:before="240"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Имотът не попада в границите на защитени територии по смисъла на ЗЗТ и в защитени зони по Натура 2000.</w:t>
      </w:r>
    </w:p>
    <w:p w:rsidR="004B65F8" w:rsidRDefault="0097463E" w:rsidP="00643AE0">
      <w:pPr>
        <w:spacing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засягат елементи на Националната екологична мрежа и обекти подлежащи на здравна защита.</w:t>
      </w:r>
      <w:r w:rsidR="00880311">
        <w:rPr>
          <w:rFonts w:ascii="Times New Roman" w:hAnsi="Times New Roman" w:cs="Times New Roman"/>
          <w:sz w:val="24"/>
          <w:szCs w:val="24"/>
        </w:rPr>
        <w:t xml:space="preserve"> </w:t>
      </w:r>
      <w:r w:rsidR="002D1048">
        <w:rPr>
          <w:rFonts w:ascii="Times New Roman" w:hAnsi="Times New Roman" w:cs="Times New Roman"/>
          <w:sz w:val="24"/>
          <w:szCs w:val="24"/>
        </w:rPr>
        <w:t>Не се засягат обекти на кул</w:t>
      </w:r>
      <w:r w:rsidR="00732D49">
        <w:rPr>
          <w:rFonts w:ascii="Times New Roman" w:hAnsi="Times New Roman" w:cs="Times New Roman"/>
          <w:sz w:val="24"/>
          <w:szCs w:val="24"/>
        </w:rPr>
        <w:t>турно-историческото наследство.</w:t>
      </w:r>
    </w:p>
    <w:p w:rsidR="004B65F8" w:rsidRDefault="004B65F8" w:rsidP="00643AE0">
      <w:pPr>
        <w:spacing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необходимост от изграждане на нова или промяна на съществуващата пътна инфраструктура.</w:t>
      </w:r>
      <w:r w:rsidR="002D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 трансгранично въздействие.</w:t>
      </w:r>
    </w:p>
    <w:p w:rsidR="00643AE0" w:rsidRDefault="00643AE0" w:rsidP="00643AE0">
      <w:pPr>
        <w:spacing w:after="0" w:line="288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Местоположението на обекта е показано на приложената скица на имота в М 1:2000.</w:t>
      </w:r>
    </w:p>
    <w:p w:rsidR="004B65F8" w:rsidRDefault="004B65F8" w:rsidP="004B65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4B65F8" w:rsidRDefault="004B65F8" w:rsidP="004B65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(включително предвидено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водовземане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за питейни, промишлени и други нужди - чрез обществено водоснабдяване (ВиК или друга мрежа) и/или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водовземане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643AE0" w:rsidRPr="00643AE0" w:rsidRDefault="00643AE0" w:rsidP="00643AE0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3AE0">
        <w:rPr>
          <w:rFonts w:ascii="Times New Roman" w:eastAsiaTheme="minorEastAsia" w:hAnsi="Times New Roman" w:cs="Times New Roman"/>
          <w:sz w:val="24"/>
          <w:szCs w:val="24"/>
        </w:rPr>
        <w:t>По време на строителството ще се ползва основно гориво за строителните машини, сондата и компресора за изграждане на СК, и традиционни строителни материали за сградата. Всички разтвори ще се доставят в готов вид от най-близките бетоновъзли и ще се влагат директно в строителните конструкции.</w:t>
      </w:r>
    </w:p>
    <w:p w:rsidR="00643AE0" w:rsidRPr="00643AE0" w:rsidRDefault="00643AE0" w:rsidP="00643AE0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3AE0">
        <w:rPr>
          <w:rFonts w:ascii="Times New Roman" w:eastAsiaTheme="minorEastAsia" w:hAnsi="Times New Roman" w:cs="Times New Roman"/>
          <w:sz w:val="24"/>
          <w:szCs w:val="24"/>
        </w:rPr>
        <w:t>По време на експлоатацията на обекта ще се използва бутилирана вода за питейни нужди на персонала от 6 човека, ел.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43AE0">
        <w:rPr>
          <w:rFonts w:ascii="Times New Roman" w:eastAsiaTheme="minorEastAsia" w:hAnsi="Times New Roman" w:cs="Times New Roman"/>
          <w:sz w:val="24"/>
          <w:szCs w:val="24"/>
        </w:rPr>
        <w:t>енергия за ото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пление и осветление на сградата, </w:t>
      </w:r>
      <w:r w:rsidRPr="00643AE0">
        <w:rPr>
          <w:rFonts w:ascii="Times New Roman" w:eastAsiaTheme="minorEastAsia" w:hAnsi="Times New Roman" w:cs="Times New Roman"/>
          <w:sz w:val="24"/>
          <w:szCs w:val="24"/>
        </w:rPr>
        <w:t>и за помпите на СК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43AE0" w:rsidRPr="00643AE0" w:rsidRDefault="00643AE0" w:rsidP="00643AE0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43AE0">
        <w:rPr>
          <w:rFonts w:ascii="Times New Roman" w:eastAsiaTheme="minorEastAsia" w:hAnsi="Times New Roman" w:cs="Times New Roman"/>
          <w:sz w:val="24"/>
          <w:szCs w:val="24"/>
        </w:rPr>
        <w:t>По време на експлоатацията на обекта ще се използва също и подземна вода от СК за хигиенни нужди (измиване на външни и вътрешни площадки), за поливане на тревни площи и за пожарогасене.</w:t>
      </w:r>
    </w:p>
    <w:p w:rsidR="00C94FCA" w:rsidRDefault="00643AE0" w:rsidP="00643AE0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hAnsi="Times New Roman" w:cs="Times New Roman"/>
          <w:sz w:val="24"/>
          <w:szCs w:val="24"/>
        </w:rPr>
      </w:pPr>
      <w:r w:rsidRPr="00643AE0">
        <w:rPr>
          <w:rFonts w:ascii="Times New Roman" w:eastAsiaTheme="minorEastAsia" w:hAnsi="Times New Roman" w:cs="Times New Roman"/>
          <w:sz w:val="24"/>
          <w:szCs w:val="24"/>
        </w:rPr>
        <w:t>Необходимите водни количества са:</w:t>
      </w:r>
    </w:p>
    <w:p w:rsidR="00AC3C7A" w:rsidRDefault="00643AE0" w:rsidP="005A0AA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Хигиенни</w:t>
      </w:r>
      <w:r w:rsidR="00AC3C7A">
        <w:rPr>
          <w:rFonts w:ascii="Times New Roman" w:hAnsi="Times New Roman" w:cs="Times New Roman"/>
          <w:sz w:val="24"/>
          <w:szCs w:val="24"/>
        </w:rPr>
        <w:t xml:space="preserve"> нужди – </w:t>
      </w:r>
      <w:r w:rsidR="004F5C8B">
        <w:rPr>
          <w:rFonts w:ascii="Times New Roman" w:hAnsi="Times New Roman" w:cs="Times New Roman"/>
          <w:sz w:val="24"/>
          <w:szCs w:val="24"/>
        </w:rPr>
        <w:t>(измиване на външни и вътрешни площадки с обща площ 900 м</w:t>
      </w:r>
      <w:r w:rsidR="004F5C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F5C8B">
        <w:rPr>
          <w:rFonts w:ascii="Times New Roman" w:hAnsi="Times New Roman" w:cs="Times New Roman"/>
          <w:sz w:val="24"/>
          <w:szCs w:val="24"/>
        </w:rPr>
        <w:t>):</w:t>
      </w:r>
    </w:p>
    <w:p w:rsidR="005A0AA8" w:rsidRPr="005A0AA8" w:rsidRDefault="005A0AA8" w:rsidP="005A0AA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900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х 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=2700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=2,7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х 300 дни=810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den>
          </m:f>
        </m:oMath>
      </m:oMathPara>
    </w:p>
    <w:p w:rsidR="005A0AA8" w:rsidRDefault="005A0AA8" w:rsidP="005A0AA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Поливане на тревни площи – 800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0AA8" w:rsidRPr="005A0AA8" w:rsidRDefault="005A0AA8" w:rsidP="005A0AA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800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 xml:space="preserve"> х 3 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=2400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=2,4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х 180 дни=432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den>
          </m:f>
        </m:oMath>
      </m:oMathPara>
    </w:p>
    <w:p w:rsidR="005A0AA8" w:rsidRDefault="005A0AA8" w:rsidP="005A0AA8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Общото дневно водно количество е:</w:t>
      </w:r>
    </w:p>
    <w:p w:rsidR="005A0AA8" w:rsidRPr="005A0AA8" w:rsidRDefault="001D10D7" w:rsidP="005A0AA8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=2,7+2,4=5,1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ден</m:t>
              </m:r>
            </m:den>
          </m:f>
        </m:oMath>
      </m:oMathPara>
    </w:p>
    <w:p w:rsidR="005A0AA8" w:rsidRDefault="005A0AA8" w:rsidP="005A0AA8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Общото годишно водно количество е:</w:t>
      </w:r>
    </w:p>
    <w:p w:rsidR="005A0AA8" w:rsidRPr="005A0AA8" w:rsidRDefault="001D10D7" w:rsidP="005A0AA8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=810+432=1242 или кръгло 1250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год</m:t>
              </m:r>
            </m:den>
          </m:f>
        </m:oMath>
      </m:oMathPara>
    </w:p>
    <w:p w:rsidR="005A0AA8" w:rsidRDefault="002211DA" w:rsidP="005A0AA8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Максималният дебит е:</w:t>
      </w:r>
    </w:p>
    <w:p w:rsidR="002211DA" w:rsidRPr="005A0AA8" w:rsidRDefault="001D10D7" w:rsidP="002211DA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макс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=1,50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л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сек</m:t>
              </m:r>
            </m:den>
          </m:f>
        </m:oMath>
      </m:oMathPara>
    </w:p>
    <w:p w:rsidR="009E4F2B" w:rsidRDefault="004B5869" w:rsidP="004B586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Пожарогасене</w:t>
      </w:r>
      <w:r w:rsidR="00BA4C13">
        <w:rPr>
          <w:rFonts w:ascii="Times New Roman" w:hAnsi="Times New Roman" w:cs="Times New Roman"/>
          <w:sz w:val="24"/>
          <w:szCs w:val="24"/>
        </w:rPr>
        <w:t>:</w:t>
      </w:r>
    </w:p>
    <w:p w:rsidR="009E4F2B" w:rsidRPr="004B5869" w:rsidRDefault="004B5869" w:rsidP="004B58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sz w:val="24"/>
          <w:szCs w:val="24"/>
        </w:rPr>
        <w:t>За външно пожарогасене -</w:t>
      </w:r>
      <w:r w:rsidR="009E4F2B" w:rsidRPr="004B5869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=10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сек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B5869" w:rsidRPr="004B5869" w:rsidRDefault="004B5869" w:rsidP="004B586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69">
        <w:rPr>
          <w:rFonts w:ascii="Times New Roman" w:hAnsi="Times New Roman" w:cs="Times New Roman"/>
          <w:sz w:val="24"/>
          <w:szCs w:val="24"/>
        </w:rPr>
        <w:t>За въ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4B5869">
        <w:rPr>
          <w:rFonts w:ascii="Times New Roman" w:hAnsi="Times New Roman" w:cs="Times New Roman"/>
          <w:sz w:val="24"/>
          <w:szCs w:val="24"/>
        </w:rPr>
        <w:t xml:space="preserve">шно пожарогасене -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=5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сек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4B5869" w:rsidRPr="005A0AA8" w:rsidRDefault="004B5869" w:rsidP="004B5869">
      <w:pPr>
        <w:widowControl w:val="0"/>
        <w:autoSpaceDE w:val="0"/>
        <w:autoSpaceDN w:val="0"/>
        <w:adjustRightInd w:val="0"/>
        <w:spacing w:after="0" w:line="288" w:lineRule="auto"/>
        <w:ind w:left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осигуряване на противопожарното водно количество се предвижда отделна помпа с максимален дебит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макс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=10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л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сек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65F8" w:rsidRDefault="004B65F8" w:rsidP="004B65F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 Очаквани вещества, които ще бъдат емитирани от дейността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 т.ч. приоритетни и/или опасни, при които се осъществява или е възможен контакт с води:</w:t>
      </w:r>
    </w:p>
    <w:p w:rsidR="004B65F8" w:rsidRDefault="00CC0ECE" w:rsidP="004B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 такива вещества</w:t>
      </w:r>
      <w:r w:rsidR="004B65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B65F8" w:rsidRDefault="004B65F8" w:rsidP="004B65F8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076FF5" w:rsidRDefault="008E2A16" w:rsidP="004B586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дейността в обекта не се формират емисии на вредни вещества в атмосферния въздух</w:t>
      </w:r>
      <w:r w:rsidR="004B65F8">
        <w:rPr>
          <w:rFonts w:ascii="Times New Roman" w:hAnsi="Times New Roman" w:cs="Times New Roman"/>
          <w:sz w:val="24"/>
          <w:szCs w:val="24"/>
        </w:rPr>
        <w:t>.</w:t>
      </w:r>
    </w:p>
    <w:p w:rsidR="004B65F8" w:rsidRDefault="004B65F8" w:rsidP="00732D49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4B5869" w:rsidRPr="004B5869" w:rsidRDefault="004B5869" w:rsidP="004B5869">
      <w:pPr>
        <w:widowControl w:val="0"/>
        <w:autoSpaceDE w:val="0"/>
        <w:autoSpaceDN w:val="0"/>
        <w:adjustRightInd w:val="0"/>
        <w:spacing w:after="0" w:line="288" w:lineRule="auto"/>
        <w:ind w:firstLine="482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По време на строителството ще се формират основно строителни отпадъци. </w:t>
      </w:r>
      <w:proofErr w:type="spellStart"/>
      <w:r w:rsidRPr="004B5869">
        <w:rPr>
          <w:rFonts w:ascii="Times New Roman" w:eastAsiaTheme="minorEastAsia" w:hAnsi="Times New Roman" w:cs="Times New Roman"/>
          <w:sz w:val="24"/>
          <w:szCs w:val="24"/>
        </w:rPr>
        <w:t>Шламът</w:t>
      </w:r>
      <w:proofErr w:type="spellEnd"/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, получен при сондирането представлява смес от глина, земни и скални маси, сходни на изкопните земни маси. Ще се събира в яма, която след приключване на сондажните работи ще бъде почистена и </w:t>
      </w:r>
      <w:proofErr w:type="spellStart"/>
      <w:r w:rsidRPr="004B5869">
        <w:rPr>
          <w:rFonts w:ascii="Times New Roman" w:eastAsiaTheme="minorEastAsia" w:hAnsi="Times New Roman" w:cs="Times New Roman"/>
          <w:sz w:val="24"/>
          <w:szCs w:val="24"/>
        </w:rPr>
        <w:t>рекултивирана</w:t>
      </w:r>
      <w:proofErr w:type="spellEnd"/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. Строителните отпадъци и </w:t>
      </w:r>
      <w:proofErr w:type="spellStart"/>
      <w:r w:rsidRPr="004B5869">
        <w:rPr>
          <w:rFonts w:ascii="Times New Roman" w:eastAsiaTheme="minorEastAsia" w:hAnsi="Times New Roman" w:cs="Times New Roman"/>
          <w:sz w:val="24"/>
          <w:szCs w:val="24"/>
        </w:rPr>
        <w:t>шламът</w:t>
      </w:r>
      <w:proofErr w:type="spellEnd"/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 от ямата ще се изхвърлят на оторизирано депо за строителни отпадъци, определено от Кмета на Община </w:t>
      </w:r>
      <w:r>
        <w:rPr>
          <w:rFonts w:ascii="Times New Roman" w:eastAsiaTheme="minorEastAsia" w:hAnsi="Times New Roman" w:cs="Times New Roman"/>
          <w:sz w:val="24"/>
          <w:szCs w:val="24"/>
        </w:rPr>
        <w:t>Родопи</w:t>
      </w:r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. Ще се формират минимални количества смесени битови отпадъци от жизнената дейност на строителните работници. Те ще се събират в полиетиленови торби и ежедневно ще се изхвърлят в контейнер за битови отпадъци в </w:t>
      </w:r>
      <w:r>
        <w:rPr>
          <w:rFonts w:ascii="Times New Roman" w:eastAsiaTheme="minorEastAsia" w:hAnsi="Times New Roman" w:cs="Times New Roman"/>
          <w:sz w:val="24"/>
          <w:szCs w:val="24"/>
        </w:rPr>
        <w:t>с. Брестник</w:t>
      </w:r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, обслужван от фирмата по сметосъбиране и </w:t>
      </w:r>
      <w:proofErr w:type="spellStart"/>
      <w:r w:rsidRPr="004B5869">
        <w:rPr>
          <w:rFonts w:ascii="Times New Roman" w:eastAsiaTheme="minorEastAsia" w:hAnsi="Times New Roman" w:cs="Times New Roman"/>
          <w:sz w:val="24"/>
          <w:szCs w:val="24"/>
        </w:rPr>
        <w:t>сметоизвозване</w:t>
      </w:r>
      <w:proofErr w:type="spellEnd"/>
      <w:r w:rsidRPr="004B586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B65F8" w:rsidRPr="00C34543" w:rsidRDefault="004B5869" w:rsidP="004B5869">
      <w:pPr>
        <w:spacing w:after="100" w:afterAutospacing="1" w:line="288" w:lineRule="auto"/>
        <w:jc w:val="both"/>
        <w:rPr>
          <w:rFonts w:ascii="Times New Roman" w:hAnsi="Times New Roman"/>
          <w:sz w:val="24"/>
          <w:szCs w:val="24"/>
        </w:rPr>
      </w:pPr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По време на експлоатацията на обекта ще се формират смесени битови отпадъци от жизнената дейност на персонала, които ще се събират в контейнер за битови отпадъци, обслужван от фирмата по сметосъбиране и </w:t>
      </w:r>
      <w:proofErr w:type="spellStart"/>
      <w:r w:rsidRPr="004B5869">
        <w:rPr>
          <w:rFonts w:ascii="Times New Roman" w:eastAsiaTheme="minorEastAsia" w:hAnsi="Times New Roman" w:cs="Times New Roman"/>
          <w:sz w:val="24"/>
          <w:szCs w:val="24"/>
        </w:rPr>
        <w:t>сметоизвозване</w:t>
      </w:r>
      <w:proofErr w:type="spellEnd"/>
      <w:r w:rsidRPr="004B5869">
        <w:rPr>
          <w:rFonts w:ascii="Times New Roman" w:eastAsiaTheme="minorEastAsia" w:hAnsi="Times New Roman" w:cs="Times New Roman"/>
          <w:sz w:val="24"/>
          <w:szCs w:val="24"/>
        </w:rPr>
        <w:t xml:space="preserve"> обслужваща </w:t>
      </w:r>
      <w:r>
        <w:rPr>
          <w:rFonts w:ascii="Times New Roman" w:eastAsiaTheme="minorEastAsia" w:hAnsi="Times New Roman" w:cs="Times New Roman"/>
          <w:sz w:val="24"/>
          <w:szCs w:val="24"/>
        </w:rPr>
        <w:t>района</w:t>
      </w:r>
      <w:r w:rsidRPr="004B5869">
        <w:rPr>
          <w:rFonts w:ascii="Times New Roman" w:eastAsiaTheme="minorEastAsia" w:hAnsi="Times New Roman" w:cs="Times New Roman"/>
          <w:sz w:val="24"/>
          <w:szCs w:val="24"/>
        </w:rPr>
        <w:t>, чрез сключване на договор. От дейността на шоурума ще се формират отпадъци от опаковки, които ще се събират разделно и ще се предават на специализирана фирма за оползотворяване, чрез сключване на договор</w:t>
      </w:r>
      <w:r w:rsidR="00C34543" w:rsidRPr="009646E5">
        <w:rPr>
          <w:rFonts w:ascii="Times New Roman" w:hAnsi="Times New Roman"/>
          <w:sz w:val="24"/>
          <w:szCs w:val="24"/>
        </w:rPr>
        <w:t>.</w:t>
      </w:r>
    </w:p>
    <w:p w:rsidR="004B65F8" w:rsidRDefault="004B65F8" w:rsidP="004B6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 Отпадъчни води:</w:t>
      </w:r>
    </w:p>
    <w:p w:rsidR="004B65F8" w:rsidRDefault="004B65F8" w:rsidP="004B65F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 xml:space="preserve">станция/съоръжение и др.), отвеждане и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заустване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в канализационна система/повърхностен воден обект/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водоплътна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изгребна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яма и др.)</w:t>
      </w:r>
    </w:p>
    <w:p w:rsidR="004B65F8" w:rsidRDefault="008E2A16" w:rsidP="004B65F8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дейността на обекта се формират само битово-</w:t>
      </w:r>
      <w:proofErr w:type="spellStart"/>
      <w:r>
        <w:rPr>
          <w:rFonts w:ascii="Times New Roman" w:hAnsi="Times New Roman"/>
          <w:sz w:val="24"/>
          <w:szCs w:val="24"/>
        </w:rPr>
        <w:t>фекални</w:t>
      </w:r>
      <w:proofErr w:type="spellEnd"/>
      <w:r>
        <w:rPr>
          <w:rFonts w:ascii="Times New Roman" w:hAnsi="Times New Roman"/>
          <w:sz w:val="24"/>
          <w:szCs w:val="24"/>
        </w:rPr>
        <w:t xml:space="preserve"> отпадъчни води от санитарните възли. Поради липса на канализация те ще </w:t>
      </w:r>
      <w:proofErr w:type="spellStart"/>
      <w:r>
        <w:rPr>
          <w:rFonts w:ascii="Times New Roman" w:hAnsi="Times New Roman"/>
          <w:sz w:val="24"/>
          <w:szCs w:val="24"/>
        </w:rPr>
        <w:t>заустват</w:t>
      </w:r>
      <w:proofErr w:type="spellEnd"/>
      <w:r>
        <w:rPr>
          <w:rFonts w:ascii="Times New Roman" w:hAnsi="Times New Roman"/>
          <w:sz w:val="24"/>
          <w:szCs w:val="24"/>
        </w:rPr>
        <w:t xml:space="preserve"> във </w:t>
      </w:r>
      <w:proofErr w:type="spellStart"/>
      <w:r>
        <w:rPr>
          <w:rFonts w:ascii="Times New Roman" w:hAnsi="Times New Roman"/>
          <w:sz w:val="24"/>
          <w:szCs w:val="24"/>
        </w:rPr>
        <w:t>водоплътна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изгребна</w:t>
      </w:r>
      <w:proofErr w:type="spellEnd"/>
      <w:r>
        <w:rPr>
          <w:rFonts w:ascii="Times New Roman" w:hAnsi="Times New Roman"/>
          <w:sz w:val="24"/>
          <w:szCs w:val="24"/>
        </w:rPr>
        <w:t xml:space="preserve"> яма, която периодично ще се почиства от лицензирана фирма чрез сключване на договор</w:t>
      </w:r>
      <w:r w:rsidR="00AA1D6E">
        <w:rPr>
          <w:rFonts w:ascii="Times New Roman" w:hAnsi="Times New Roman"/>
          <w:sz w:val="24"/>
          <w:szCs w:val="24"/>
        </w:rPr>
        <w:t>.</w:t>
      </w:r>
    </w:p>
    <w:p w:rsidR="004B65F8" w:rsidRDefault="004B65F8" w:rsidP="004B65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4B65F8" w:rsidRDefault="004B65F8" w:rsidP="004B65F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4B65F8" w:rsidRDefault="00C5086E" w:rsidP="004B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8E2A16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площадката на обекта н</w:t>
      </w:r>
      <w:r w:rsidR="004B6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яма да има </w:t>
      </w:r>
      <w:r w:rsidR="008E2A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налични </w:t>
      </w:r>
      <w:r w:rsidR="004B65F8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опасни химични вещества.</w:t>
      </w:r>
    </w:p>
    <w:p w:rsidR="004B65F8" w:rsidRDefault="004B65F8" w:rsidP="00732D49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</w:t>
      </w:r>
      <w:r w:rsidR="00732D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</w:t>
      </w:r>
      <w:r w:rsidR="00732D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732D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проведе задължителна ОВОС, без да се извършва преценка.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4B65F8" w:rsidRDefault="004B65F8" w:rsidP="00732D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4B65F8" w:rsidRDefault="004B65F8" w:rsidP="004B6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</w:t>
      </w:r>
    </w:p>
    <w:p w:rsidR="004B65F8" w:rsidRDefault="004B65F8" w:rsidP="00732D4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4B65F8" w:rsidRDefault="004B65F8" w:rsidP="004B6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4B65F8" w:rsidRDefault="004B65F8" w:rsidP="00732D49">
      <w:pPr>
        <w:tabs>
          <w:tab w:val="left" w:pos="5529"/>
        </w:tabs>
        <w:spacing w:before="1800"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Дата: </w:t>
      </w:r>
      <w:r w:rsidR="008E2A16">
        <w:rPr>
          <w:rFonts w:ascii="Times New Roman" w:eastAsia="Times New Roman" w:hAnsi="Times New Roman" w:cs="Times New Roman"/>
          <w:sz w:val="24"/>
          <w:szCs w:val="24"/>
          <w:lang w:eastAsia="bg-BG"/>
        </w:rPr>
        <w:t>22.06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C5086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Уведомител: …………………..</w:t>
      </w:r>
    </w:p>
    <w:p w:rsidR="009074FB" w:rsidRDefault="004B65F8" w:rsidP="00230466">
      <w:pPr>
        <w:tabs>
          <w:tab w:val="left" w:pos="7371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sectPr w:rsidR="009074FB" w:rsidSect="00A44CD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F03"/>
    <w:multiLevelType w:val="hybridMultilevel"/>
    <w:tmpl w:val="43B007D0"/>
    <w:lvl w:ilvl="0" w:tplc="C59CA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F7752"/>
    <w:multiLevelType w:val="hybridMultilevel"/>
    <w:tmpl w:val="D368B3EC"/>
    <w:lvl w:ilvl="0" w:tplc="5756FA2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80F77E8"/>
    <w:multiLevelType w:val="hybridMultilevel"/>
    <w:tmpl w:val="F5264316"/>
    <w:lvl w:ilvl="0" w:tplc="5756FA26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97A76EB"/>
    <w:multiLevelType w:val="hybridMultilevel"/>
    <w:tmpl w:val="F5C642F6"/>
    <w:lvl w:ilvl="0" w:tplc="5756FA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BB5EB2"/>
    <w:multiLevelType w:val="hybridMultilevel"/>
    <w:tmpl w:val="937432A2"/>
    <w:lvl w:ilvl="0" w:tplc="6D12B9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875FA6"/>
    <w:multiLevelType w:val="hybridMultilevel"/>
    <w:tmpl w:val="58227416"/>
    <w:lvl w:ilvl="0" w:tplc="C59CAF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82035"/>
    <w:multiLevelType w:val="hybridMultilevel"/>
    <w:tmpl w:val="85A6B886"/>
    <w:lvl w:ilvl="0" w:tplc="5756FA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464004E"/>
    <w:multiLevelType w:val="hybridMultilevel"/>
    <w:tmpl w:val="9A7C01B8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C1918"/>
    <w:multiLevelType w:val="hybridMultilevel"/>
    <w:tmpl w:val="74FE9A1C"/>
    <w:lvl w:ilvl="0" w:tplc="C59CAF5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047D4D"/>
    <w:multiLevelType w:val="hybridMultilevel"/>
    <w:tmpl w:val="60BA2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11703"/>
    <w:multiLevelType w:val="hybridMultilevel"/>
    <w:tmpl w:val="D1CC1C92"/>
    <w:lvl w:ilvl="0" w:tplc="5756F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D1"/>
    <w:rsid w:val="000523E6"/>
    <w:rsid w:val="00065A03"/>
    <w:rsid w:val="00076FF5"/>
    <w:rsid w:val="000A4597"/>
    <w:rsid w:val="000F77FF"/>
    <w:rsid w:val="001D10D7"/>
    <w:rsid w:val="002211DA"/>
    <w:rsid w:val="00230466"/>
    <w:rsid w:val="00271AA9"/>
    <w:rsid w:val="002A7F3A"/>
    <w:rsid w:val="002B4794"/>
    <w:rsid w:val="002D1048"/>
    <w:rsid w:val="00304D17"/>
    <w:rsid w:val="00354E6C"/>
    <w:rsid w:val="0038238F"/>
    <w:rsid w:val="003824FD"/>
    <w:rsid w:val="003E00A4"/>
    <w:rsid w:val="00402BEF"/>
    <w:rsid w:val="0040426B"/>
    <w:rsid w:val="00426C6D"/>
    <w:rsid w:val="00464285"/>
    <w:rsid w:val="004B001A"/>
    <w:rsid w:val="004B5869"/>
    <w:rsid w:val="004B65F8"/>
    <w:rsid w:val="004C2B15"/>
    <w:rsid w:val="004D1C0D"/>
    <w:rsid w:val="004D2C86"/>
    <w:rsid w:val="004E09D9"/>
    <w:rsid w:val="004E5C33"/>
    <w:rsid w:val="004F5C8B"/>
    <w:rsid w:val="005229C1"/>
    <w:rsid w:val="005A0AA8"/>
    <w:rsid w:val="005E2671"/>
    <w:rsid w:val="006146E5"/>
    <w:rsid w:val="00643AE0"/>
    <w:rsid w:val="006D57DF"/>
    <w:rsid w:val="006E2054"/>
    <w:rsid w:val="006F74BD"/>
    <w:rsid w:val="00704143"/>
    <w:rsid w:val="007311D9"/>
    <w:rsid w:val="00732D49"/>
    <w:rsid w:val="00740C65"/>
    <w:rsid w:val="00744BB5"/>
    <w:rsid w:val="0074760D"/>
    <w:rsid w:val="007612AB"/>
    <w:rsid w:val="0077067C"/>
    <w:rsid w:val="007A03CE"/>
    <w:rsid w:val="007C3B20"/>
    <w:rsid w:val="007E0A90"/>
    <w:rsid w:val="007E2CB5"/>
    <w:rsid w:val="007E5385"/>
    <w:rsid w:val="008129A3"/>
    <w:rsid w:val="0081426B"/>
    <w:rsid w:val="0083188D"/>
    <w:rsid w:val="008429FD"/>
    <w:rsid w:val="00880311"/>
    <w:rsid w:val="008A678B"/>
    <w:rsid w:val="008E2A16"/>
    <w:rsid w:val="009074FB"/>
    <w:rsid w:val="009201F2"/>
    <w:rsid w:val="0093578E"/>
    <w:rsid w:val="00963AEE"/>
    <w:rsid w:val="009646E5"/>
    <w:rsid w:val="00971183"/>
    <w:rsid w:val="00971BC6"/>
    <w:rsid w:val="0097463E"/>
    <w:rsid w:val="009908E2"/>
    <w:rsid w:val="00997401"/>
    <w:rsid w:val="009B0004"/>
    <w:rsid w:val="009C249B"/>
    <w:rsid w:val="009E2B67"/>
    <w:rsid w:val="009E4F2B"/>
    <w:rsid w:val="00A12E88"/>
    <w:rsid w:val="00A27843"/>
    <w:rsid w:val="00A40C27"/>
    <w:rsid w:val="00A44CD0"/>
    <w:rsid w:val="00A757B9"/>
    <w:rsid w:val="00A94898"/>
    <w:rsid w:val="00A97ACA"/>
    <w:rsid w:val="00AA1D6E"/>
    <w:rsid w:val="00AC3C7A"/>
    <w:rsid w:val="00AD6881"/>
    <w:rsid w:val="00B023D1"/>
    <w:rsid w:val="00B07549"/>
    <w:rsid w:val="00B7177A"/>
    <w:rsid w:val="00B723D6"/>
    <w:rsid w:val="00BA4C13"/>
    <w:rsid w:val="00BC3258"/>
    <w:rsid w:val="00C074BD"/>
    <w:rsid w:val="00C34543"/>
    <w:rsid w:val="00C5086E"/>
    <w:rsid w:val="00C94FCA"/>
    <w:rsid w:val="00CB33A7"/>
    <w:rsid w:val="00CC0ECE"/>
    <w:rsid w:val="00CF2582"/>
    <w:rsid w:val="00CF4ACD"/>
    <w:rsid w:val="00D05086"/>
    <w:rsid w:val="00D278D3"/>
    <w:rsid w:val="00D65454"/>
    <w:rsid w:val="00DD0AEC"/>
    <w:rsid w:val="00E42858"/>
    <w:rsid w:val="00E51F9E"/>
    <w:rsid w:val="00E60778"/>
    <w:rsid w:val="00E918F9"/>
    <w:rsid w:val="00EA4560"/>
    <w:rsid w:val="00EA5F14"/>
    <w:rsid w:val="00ED3862"/>
    <w:rsid w:val="00EF229A"/>
    <w:rsid w:val="00F24F16"/>
    <w:rsid w:val="00F34707"/>
    <w:rsid w:val="00F94751"/>
    <w:rsid w:val="00F960EA"/>
    <w:rsid w:val="00FB70FB"/>
    <w:rsid w:val="00FE10A5"/>
    <w:rsid w:val="00FF1A4C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4DE61-9D67-4E08-9D4F-13AC6510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E00A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A0A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8C7D-D389-445E-B485-60A713EC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Janet Marinska</cp:lastModifiedBy>
  <cp:revision>4</cp:revision>
  <dcterms:created xsi:type="dcterms:W3CDTF">2021-06-30T07:25:00Z</dcterms:created>
  <dcterms:modified xsi:type="dcterms:W3CDTF">2021-06-30T07:27:00Z</dcterms:modified>
</cp:coreProperties>
</file>