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C0" w:rsidRDefault="009341B1">
      <w:pPr>
        <w:spacing w:after="565" w:line="237" w:lineRule="auto"/>
        <w:ind w:left="7013" w:right="130"/>
        <w:jc w:val="right"/>
      </w:pPr>
      <w:r>
        <w:rPr>
          <w:sz w:val="20"/>
        </w:rPr>
        <w:t>Приложение № 6 към чл. 6, ал. 1 от Наредбата за ОВОС</w:t>
      </w:r>
    </w:p>
    <w:p w:rsidR="00B644C0" w:rsidRDefault="009341B1">
      <w:pPr>
        <w:pStyle w:val="1"/>
      </w:pPr>
      <w:r>
        <w:t>до</w:t>
      </w:r>
    </w:p>
    <w:p w:rsidR="00B644C0" w:rsidRDefault="009341B1">
      <w:pPr>
        <w:spacing w:after="421" w:line="263" w:lineRule="auto"/>
        <w:ind w:left="777" w:hanging="10"/>
        <w:jc w:val="left"/>
      </w:pPr>
      <w:r>
        <w:rPr>
          <w:sz w:val="26"/>
        </w:rPr>
        <w:t>ДИРЕКТОРА НА РИОСВ - ПЛОВДИВ</w:t>
      </w:r>
    </w:p>
    <w:p w:rsidR="00B644C0" w:rsidRDefault="009341B1">
      <w:pPr>
        <w:spacing w:after="567" w:line="227" w:lineRule="auto"/>
        <w:ind w:left="557" w:right="571" w:hanging="10"/>
        <w:jc w:val="center"/>
      </w:pPr>
      <w:r>
        <w:rPr>
          <w:sz w:val="26"/>
        </w:rPr>
        <w:t xml:space="preserve">ИСКАНЕ за преценяване на необходимостта от </w:t>
      </w:r>
      <w:proofErr w:type="spellStart"/>
      <w:r>
        <w:rPr>
          <w:sz w:val="26"/>
        </w:rPr>
        <w:t>извьршване</w:t>
      </w:r>
      <w:proofErr w:type="spellEnd"/>
      <w:r>
        <w:rPr>
          <w:sz w:val="26"/>
        </w:rPr>
        <w:t xml:space="preserve"> на оценка на </w:t>
      </w:r>
      <w:proofErr w:type="spellStart"/>
      <w:r>
        <w:rPr>
          <w:sz w:val="26"/>
        </w:rPr>
        <w:t>выдействието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вьрху</w:t>
      </w:r>
      <w:proofErr w:type="spellEnd"/>
      <w:r>
        <w:rPr>
          <w:sz w:val="26"/>
        </w:rPr>
        <w:t xml:space="preserve"> околната среда (ОВОС)</w:t>
      </w:r>
    </w:p>
    <w:p w:rsidR="00B644C0" w:rsidRDefault="009341B1">
      <w:pPr>
        <w:spacing w:after="0" w:line="263" w:lineRule="auto"/>
        <w:ind w:left="777" w:hanging="10"/>
        <w:jc w:val="left"/>
      </w:pPr>
      <w:r>
        <w:rPr>
          <w:sz w:val="26"/>
        </w:rPr>
        <w:t>от ”ДЖИ ЕС ТИ 71 ” ЕООД,</w:t>
      </w:r>
    </w:p>
    <w:p w:rsidR="00B644C0" w:rsidRDefault="009341B1">
      <w:pPr>
        <w:spacing w:after="371" w:line="227" w:lineRule="auto"/>
        <w:ind w:left="557" w:right="681" w:hanging="10"/>
        <w:jc w:val="center"/>
      </w:pPr>
      <w:r>
        <w:rPr>
          <w:sz w:val="26"/>
        </w:rPr>
        <w:t>УВАЖАЕМИ Г-НТ-ЖО ДИРЕКТОР,</w:t>
      </w:r>
    </w:p>
    <w:p w:rsidR="00B644C0" w:rsidRDefault="009341B1">
      <w:pPr>
        <w:spacing w:after="402" w:line="346" w:lineRule="auto"/>
        <w:ind w:left="91" w:firstLine="715"/>
      </w:pPr>
      <w:r>
        <w:rPr>
          <w:sz w:val="24"/>
        </w:rPr>
        <w:t>Моля да ми бъде издадено решение за преценяване на необходимостта от извършване на ОВОС за инвестиционно предложение - „</w:t>
      </w:r>
      <w:proofErr w:type="spellStart"/>
      <w:r>
        <w:rPr>
          <w:sz w:val="24"/>
        </w:rPr>
        <w:t>Изпышение</w:t>
      </w:r>
      <w:proofErr w:type="spellEnd"/>
      <w:r>
        <w:rPr>
          <w:sz w:val="24"/>
        </w:rPr>
        <w:t xml:space="preserve"> на един тръбен кладенец за нуждите на бъдеща Складова сграда за съхраняване на негорим строителен инвентар и инструменти”</w:t>
      </w:r>
      <w:r>
        <w:rPr>
          <w:noProof/>
        </w:rPr>
        <w:drawing>
          <wp:inline distT="0" distB="0" distL="0" distR="0">
            <wp:extent cx="24386" cy="24385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C0" w:rsidRDefault="009341B1">
      <w:pPr>
        <w:spacing w:after="436" w:line="346" w:lineRule="auto"/>
        <w:ind w:left="811"/>
      </w:pPr>
      <w:r>
        <w:rPr>
          <w:sz w:val="24"/>
        </w:rPr>
        <w:t>Инвестиционното предложение е ново.</w:t>
      </w:r>
    </w:p>
    <w:p w:rsidR="00B644C0" w:rsidRDefault="009341B1">
      <w:pPr>
        <w:spacing w:after="412" w:line="346" w:lineRule="auto"/>
        <w:ind w:left="91" w:firstLine="715"/>
      </w:pPr>
      <w:r>
        <w:rPr>
          <w:sz w:val="24"/>
        </w:rPr>
        <w:t>Складовата страда за съхраняване на негорим строителен инвентар и инструменти се проектира в имот ПИ 4729522.1100 по КККР на село Марково, община Родопи, област Пловдив.</w:t>
      </w:r>
    </w:p>
    <w:p w:rsidR="00B644C0" w:rsidRDefault="009341B1">
      <w:pPr>
        <w:spacing w:after="436" w:line="346" w:lineRule="auto"/>
        <w:ind w:left="91" w:firstLine="715"/>
      </w:pPr>
      <w:r>
        <w:rPr>
          <w:sz w:val="24"/>
        </w:rPr>
        <w:t xml:space="preserve">Проектният тръбен кладенец ще бъде изпълнен също в </w:t>
      </w:r>
      <w:proofErr w:type="spellStart"/>
      <w:r>
        <w:rPr>
          <w:sz w:val="24"/>
        </w:rPr>
        <w:t>тиот</w:t>
      </w:r>
      <w:proofErr w:type="spellEnd"/>
      <w:r>
        <w:rPr>
          <w:sz w:val="24"/>
        </w:rPr>
        <w:t xml:space="preserve"> ПИ 47295.22.1100 по КККР на село Марково, община Родопи, област Пловдив.</w:t>
      </w:r>
    </w:p>
    <w:p w:rsidR="00B644C0" w:rsidRDefault="009341B1">
      <w:pPr>
        <w:spacing w:after="156" w:line="259" w:lineRule="auto"/>
        <w:ind w:left="840"/>
      </w:pPr>
      <w:r>
        <w:rPr>
          <w:sz w:val="24"/>
        </w:rPr>
        <w:t>Географските координати на проектния тръбен кладенец в система WGS — 84 са.</w:t>
      </w:r>
    </w:p>
    <w:p w:rsidR="00B644C0" w:rsidRDefault="009341B1">
      <w:pPr>
        <w:spacing w:after="114" w:line="259" w:lineRule="auto"/>
        <w:ind w:left="835"/>
        <w:jc w:val="left"/>
      </w:pPr>
      <w:r>
        <w:rPr>
          <w:noProof/>
        </w:rPr>
        <w:drawing>
          <wp:inline distT="0" distB="0" distL="0" distR="0">
            <wp:extent cx="115832" cy="106685"/>
            <wp:effectExtent l="0" t="0" r="0" b="0"/>
            <wp:docPr id="1077" name="Picture 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10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42 </w:t>
      </w:r>
      <w:r>
        <w:rPr>
          <w:vertAlign w:val="superscript"/>
        </w:rPr>
        <w:t xml:space="preserve">0 </w:t>
      </w:r>
      <w:r>
        <w:t>05'ОО.5З“ Е 24</w:t>
      </w:r>
      <w:r>
        <w:rPr>
          <w:vertAlign w:val="superscript"/>
        </w:rPr>
        <w:t>0</w:t>
      </w:r>
      <w:r>
        <w:t>42'56.86“.</w:t>
      </w:r>
    </w:p>
    <w:p w:rsidR="00B644C0" w:rsidRDefault="009341B1">
      <w:pPr>
        <w:spacing w:after="0" w:line="259" w:lineRule="auto"/>
        <w:ind w:left="0"/>
        <w:jc w:val="right"/>
      </w:pPr>
      <w:r>
        <w:rPr>
          <w:sz w:val="34"/>
        </w:rPr>
        <w:t>1</w:t>
      </w:r>
    </w:p>
    <w:p w:rsidR="00B644C0" w:rsidRDefault="009341B1">
      <w:pPr>
        <w:spacing w:after="396" w:line="216" w:lineRule="auto"/>
        <w:ind w:left="-15" w:right="321"/>
      </w:pPr>
      <w:r>
        <w:rPr>
          <w:sz w:val="20"/>
        </w:rPr>
        <w:t xml:space="preserve">(посочва се характерът на </w:t>
      </w:r>
      <w:proofErr w:type="spellStart"/>
      <w:r>
        <w:rPr>
          <w:sz w:val="20"/>
        </w:rPr>
        <w:t>инвестшщонното</w:t>
      </w:r>
      <w:proofErr w:type="spellEnd"/>
      <w:r>
        <w:rPr>
          <w:sz w:val="20"/>
        </w:rPr>
        <w:t xml:space="preserve"> предложение, в т.ч. дали е за ново инвестиционно предложение </w:t>
      </w:r>
      <w:proofErr w:type="spellStart"/>
      <w:r>
        <w:rPr>
          <w:sz w:val="20"/>
        </w:rPr>
        <w:t>Тили</w:t>
      </w:r>
      <w:proofErr w:type="spellEnd"/>
      <w:r>
        <w:rPr>
          <w:sz w:val="20"/>
        </w:rPr>
        <w:t xml:space="preserve"> за разширение или изменение на инвестиционно предложение съгласно приложение № или приложение № 2 </w:t>
      </w:r>
      <w:proofErr w:type="spellStart"/>
      <w:r>
        <w:rPr>
          <w:sz w:val="20"/>
        </w:rPr>
        <w:t>кыл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зооэ</w:t>
      </w:r>
      <w:proofErr w:type="spellEnd"/>
    </w:p>
    <w:p w:rsidR="00B644C0" w:rsidRDefault="009341B1">
      <w:pPr>
        <w:spacing w:after="124" w:line="259" w:lineRule="auto"/>
        <w:ind w:left="10"/>
        <w:jc w:val="left"/>
      </w:pPr>
      <w:r>
        <w:rPr>
          <w:sz w:val="24"/>
          <w:u w:val="single" w:color="000000"/>
        </w:rPr>
        <w:t>Прилагам:</w:t>
      </w:r>
      <w:r>
        <w:rPr>
          <w:noProof/>
        </w:rPr>
        <w:drawing>
          <wp:inline distT="0" distB="0" distL="0" distR="0">
            <wp:extent cx="42675" cy="30481"/>
            <wp:effectExtent l="0" t="0" r="0" b="0"/>
            <wp:docPr id="74141" name="Picture 7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1" name="Picture 741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C0" w:rsidRDefault="009341B1">
      <w:pPr>
        <w:numPr>
          <w:ilvl w:val="0"/>
          <w:numId w:val="1"/>
        </w:numPr>
        <w:spacing w:after="114" w:line="254" w:lineRule="auto"/>
        <w:ind w:right="134" w:hanging="230"/>
      </w:pPr>
      <w:r>
        <w:rPr>
          <w:sz w:val="24"/>
        </w:rPr>
        <w:t>Информацията по приложение № 2 КЪМ чл. 6 от Наредбата за условията и реда за извършване на оценка на въздействието върху околната среда от наредбата — един екземпляр на хартиен носител и един екземпляр на електронен носител</w:t>
      </w:r>
    </w:p>
    <w:p w:rsidR="00B644C0" w:rsidRDefault="009341B1">
      <w:pPr>
        <w:numPr>
          <w:ilvl w:val="0"/>
          <w:numId w:val="1"/>
        </w:numPr>
        <w:spacing w:after="103" w:line="254" w:lineRule="auto"/>
        <w:ind w:right="134" w:hanging="230"/>
      </w:pPr>
      <w:r>
        <w:rPr>
          <w:sz w:val="24"/>
        </w:rPr>
        <w:t xml:space="preserve">Документи, доказващи осигуряване от </w:t>
      </w:r>
      <w:proofErr w:type="spellStart"/>
      <w:r>
        <w:rPr>
          <w:sz w:val="24"/>
        </w:rPr>
        <w:t>выложителя</w:t>
      </w:r>
      <w:proofErr w:type="spellEnd"/>
      <w:r>
        <w:rPr>
          <w:sz w:val="24"/>
        </w:rPr>
        <w:t xml:space="preserve"> на обществен достъп до информацията по приложение № 2 към чл. 6, ал. 1 от наредбата и предоставяне на копие на хартиен и на електронен носител на съответната/съответните община/общини, район/райони и кметство или кметства съгласно изискванията на чл. 6, ал. 9 от наредбата.</w:t>
      </w:r>
    </w:p>
    <w:p w:rsidR="00B644C0" w:rsidRDefault="009341B1">
      <w:pPr>
        <w:numPr>
          <w:ilvl w:val="0"/>
          <w:numId w:val="1"/>
        </w:numPr>
        <w:spacing w:after="103" w:line="254" w:lineRule="auto"/>
        <w:ind w:right="134" w:hanging="230"/>
      </w:pPr>
      <w:r>
        <w:rPr>
          <w:sz w:val="24"/>
        </w:rPr>
        <w:lastRenderedPageBreak/>
        <w:t xml:space="preserve">Информация относно обществения интерес, ако такъв е бил проявен по реда на чл. 6, ал. 9 от наредбата, в т.ч. получени писмени становища от заинтересувани, лица, жалби, </w:t>
      </w:r>
      <w:proofErr w:type="spellStart"/>
      <w:r>
        <w:rPr>
          <w:sz w:val="24"/>
        </w:rPr>
        <w:t>выражения</w:t>
      </w:r>
      <w:proofErr w:type="spellEnd"/>
      <w:r>
        <w:rPr>
          <w:sz w:val="24"/>
        </w:rPr>
        <w:t xml:space="preserve"> или предложения, протоколи от проведени срещи и др. от осигурения от </w:t>
      </w:r>
      <w:proofErr w:type="spellStart"/>
      <w:r>
        <w:rPr>
          <w:sz w:val="24"/>
        </w:rPr>
        <w:t>выложителя</w:t>
      </w:r>
      <w:proofErr w:type="spellEnd"/>
      <w:r>
        <w:rPr>
          <w:sz w:val="24"/>
        </w:rPr>
        <w:t xml:space="preserve"> обществен достъп до информацията по приложение № 2 към чл. 6.</w:t>
      </w:r>
    </w:p>
    <w:p w:rsidR="00B644C0" w:rsidRDefault="009341B1">
      <w:pPr>
        <w:numPr>
          <w:ilvl w:val="0"/>
          <w:numId w:val="1"/>
        </w:numPr>
        <w:spacing w:after="101" w:line="254" w:lineRule="auto"/>
        <w:ind w:right="134" w:hanging="230"/>
      </w:pPr>
      <w:r>
        <w:rPr>
          <w:sz w:val="24"/>
        </w:rPr>
        <w:t>Оценка по шт. 99а от ЗООС (в случаите по чл. 118, ал.2 от ЗООС) — един екземпляр на хартиен носител и един екземпляр на електронен носител.</w:t>
      </w:r>
    </w:p>
    <w:p w:rsidR="00B644C0" w:rsidRDefault="009341B1">
      <w:pPr>
        <w:numPr>
          <w:ilvl w:val="0"/>
          <w:numId w:val="1"/>
        </w:numPr>
        <w:spacing w:after="124" w:line="254" w:lineRule="auto"/>
        <w:ind w:right="134" w:hanging="230"/>
      </w:pPr>
      <w:r>
        <w:rPr>
          <w:sz w:val="24"/>
        </w:rPr>
        <w:t>Информация и оценка по чл.99б, ал. 1 от ЗООС (в случаите по чл. 109, ал. 4 от ЗООС)— един екземпляр на хартиен носител и един екземпляр на електронен носител</w:t>
      </w:r>
    </w:p>
    <w:p w:rsidR="00B644C0" w:rsidRDefault="009341B1">
      <w:pPr>
        <w:numPr>
          <w:ilvl w:val="0"/>
          <w:numId w:val="1"/>
        </w:numPr>
        <w:spacing w:after="1104" w:line="254" w:lineRule="auto"/>
        <w:ind w:right="134" w:hanging="230"/>
      </w:pPr>
      <w:r>
        <w:rPr>
          <w:sz w:val="24"/>
        </w:rPr>
        <w:t>Документ за платена такса.</w:t>
      </w:r>
    </w:p>
    <w:p w:rsidR="00B644C0" w:rsidRDefault="009341B1">
      <w:pPr>
        <w:spacing w:after="174" w:line="254" w:lineRule="auto"/>
        <w:ind w:right="134"/>
      </w:pPr>
      <w:r>
        <w:rPr>
          <w:noProof/>
        </w:rPr>
        <w:drawing>
          <wp:inline distT="0" distB="0" distL="0" distR="0">
            <wp:extent cx="9145" cy="3048"/>
            <wp:effectExtent l="0" t="0" r="0" b="0"/>
            <wp:docPr id="2859" name="Picture 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" name="Picture 28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Желая решението да бъде издадено в електронна форма и изпратено на посочения адрес на електронна поща.</w:t>
      </w:r>
    </w:p>
    <w:p w:rsidR="00B644C0" w:rsidRDefault="009341B1" w:rsidP="00C97F6B">
      <w:pPr>
        <w:spacing w:after="1356" w:line="254" w:lineRule="auto"/>
        <w:ind w:right="134" w:firstLine="403"/>
      </w:pPr>
      <w:r>
        <w:rPr>
          <w:sz w:val="24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B644C0" w:rsidRDefault="009341B1">
      <w:pPr>
        <w:spacing w:after="122" w:line="259" w:lineRule="auto"/>
        <w:ind w:left="10" w:right="62" w:hanging="10"/>
        <w:jc w:val="right"/>
      </w:pPr>
      <w:r>
        <w:rPr>
          <w:sz w:val="20"/>
        </w:rPr>
        <w:t>2</w:t>
      </w:r>
    </w:p>
    <w:p w:rsidR="00B644C0" w:rsidRDefault="00B644C0">
      <w:pPr>
        <w:sectPr w:rsidR="00B644C0">
          <w:footerReference w:type="even" r:id="rId11"/>
          <w:footerReference w:type="default" r:id="rId12"/>
          <w:footerReference w:type="first" r:id="rId13"/>
          <w:pgSz w:w="11900" w:h="16820"/>
          <w:pgMar w:top="812" w:right="648" w:bottom="2011" w:left="893" w:header="708" w:footer="708" w:gutter="0"/>
          <w:cols w:space="708"/>
        </w:sectPr>
      </w:pPr>
    </w:p>
    <w:p w:rsidR="00B644C0" w:rsidRDefault="009341B1">
      <w:pPr>
        <w:tabs>
          <w:tab w:val="center" w:pos="3283"/>
        </w:tabs>
        <w:spacing w:after="0" w:line="216" w:lineRule="auto"/>
        <w:ind w:left="-15"/>
        <w:jc w:val="left"/>
      </w:pPr>
      <w:bookmarkStart w:id="0" w:name="_GoBack"/>
      <w:bookmarkEnd w:id="0"/>
      <w:proofErr w:type="spellStart"/>
      <w:r>
        <w:rPr>
          <w:rFonts w:ascii="Microsoft JhengHei" w:eastAsia="Microsoft JhengHei" w:hAnsi="Microsoft JhengHei" w:cs="Microsoft JhengHei"/>
          <w:sz w:val="8"/>
        </w:rPr>
        <w:lastRenderedPageBreak/>
        <w:t>MlfVWlJÐldQ</w:t>
      </w:r>
      <w:proofErr w:type="spellEnd"/>
      <w:r>
        <w:rPr>
          <w:rFonts w:ascii="Microsoft JhengHei" w:eastAsia="Microsoft JhengHei" w:hAnsi="Microsoft JhengHei" w:cs="Microsoft JhengHei"/>
          <w:sz w:val="8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8"/>
        </w:rPr>
        <w:t>HelPYHP</w:t>
      </w:r>
      <w:proofErr w:type="spellEnd"/>
      <w:r>
        <w:rPr>
          <w:rFonts w:ascii="Microsoft JhengHei" w:eastAsia="Microsoft JhengHei" w:hAnsi="Microsoft JhengHei" w:cs="Microsoft JhengHei"/>
          <w:sz w:val="8"/>
        </w:rPr>
        <w:t>,</w:t>
      </w:r>
    </w:p>
    <w:p w:rsidR="00B644C0" w:rsidRDefault="009341B1">
      <w:pPr>
        <w:tabs>
          <w:tab w:val="center" w:pos="6596"/>
        </w:tabs>
        <w:spacing w:after="0" w:line="259" w:lineRule="auto"/>
        <w:ind w:left="0"/>
        <w:jc w:val="lef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o一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 xml:space="preserve"> 00h PH</w:t>
      </w:r>
      <w:r>
        <w:rPr>
          <w:rFonts w:ascii="Microsoft JhengHei" w:eastAsia="Microsoft JhengHei" w:hAnsi="Microsoft JhengHei" w:cs="Microsoft JhengHei"/>
          <w:sz w:val="4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4"/>
        </w:rPr>
        <w:t>亠d一</w:t>
      </w:r>
      <w:proofErr w:type="spellEnd"/>
    </w:p>
    <w:p w:rsidR="00B644C0" w:rsidRDefault="009341B1">
      <w:pPr>
        <w:spacing w:after="412" w:line="259" w:lineRule="auto"/>
        <w:ind w:left="10" w:right="4608" w:hanging="10"/>
        <w:jc w:val="lef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Hdgø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 xml:space="preserve">010B 1-1 H1V1 ,0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ahVlLf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>PHHE</w:t>
      </w:r>
    </w:p>
    <w:p w:rsidR="00B644C0" w:rsidRDefault="009341B1">
      <w:pPr>
        <w:tabs>
          <w:tab w:val="center" w:pos="2938"/>
          <w:tab w:val="center" w:pos="4867"/>
          <w:tab w:val="center" w:pos="7716"/>
        </w:tabs>
        <w:spacing w:after="0" w:line="259" w:lineRule="auto"/>
        <w:ind w:left="0"/>
        <w:jc w:val="left"/>
      </w:pPr>
      <w:r>
        <w:rPr>
          <w:sz w:val="2"/>
        </w:rPr>
        <w:tab/>
      </w:r>
      <w:r>
        <w:rPr>
          <w:rFonts w:ascii="Microsoft JhengHei" w:eastAsia="Microsoft JhengHei" w:hAnsi="Microsoft JhengHei" w:cs="Microsoft JhengHei"/>
          <w:sz w:val="2"/>
        </w:rPr>
        <w:t>=OORHedh39bKKh亠Lh</w:t>
      </w:r>
      <w:r>
        <w:rPr>
          <w:rFonts w:ascii="Microsoft JhengHei" w:eastAsia="Microsoft JhengHei" w:hAnsi="Microsoft JhengHei" w:cs="Microsoft JhengHei"/>
          <w:sz w:val="2"/>
        </w:rPr>
        <w:tab/>
        <w:t>0 ~01 0</w:t>
      </w:r>
      <w:r>
        <w:rPr>
          <w:rFonts w:ascii="Microsoft JhengHei" w:eastAsia="Microsoft JhengHei" w:hAnsi="Microsoft JhengHei" w:cs="Microsoft JhengHei"/>
          <w:sz w:val="2"/>
        </w:rPr>
        <w:tab/>
        <w:t>~亠0::0M0一 0丶 - 、0 …:2222WW6e:•00=e0冖2F5、- 00U、</w:t>
      </w:r>
    </w:p>
    <w:p w:rsidR="00B644C0" w:rsidRDefault="009341B1">
      <w:pPr>
        <w:spacing w:after="0" w:line="259" w:lineRule="auto"/>
        <w:ind w:left="10" w:right="4738" w:hanging="10"/>
        <w:jc w:val="center"/>
      </w:pPr>
      <w:r>
        <w:rPr>
          <w:rFonts w:ascii="Microsoft JhengHei" w:eastAsia="Microsoft JhengHei" w:hAnsi="Microsoft JhengHei" w:cs="Microsoft JhengHei"/>
          <w:sz w:val="2"/>
        </w:rPr>
        <w:t>…2222WW66…</w:t>
      </w:r>
    </w:p>
    <w:p w:rsidR="00B644C0" w:rsidRDefault="009341B1">
      <w:pPr>
        <w:spacing w:after="0" w:line="259" w:lineRule="auto"/>
        <w:ind w:left="10" w:right="4258" w:hanging="10"/>
        <w:jc w:val="right"/>
      </w:pPr>
      <w:r>
        <w:rPr>
          <w:rFonts w:ascii="Microsoft JhengHei" w:eastAsia="Microsoft JhengHei" w:hAnsi="Microsoft JhengHei" w:cs="Microsoft JhengHei"/>
          <w:sz w:val="8"/>
        </w:rPr>
        <w:t>000M0 0=-~</w:t>
      </w:r>
      <w:proofErr w:type="spellStart"/>
      <w:r>
        <w:rPr>
          <w:rFonts w:ascii="Microsoft JhengHei" w:eastAsia="Microsoft JhengHei" w:hAnsi="Microsoft JhengHei" w:cs="Microsoft JhengHei"/>
          <w:sz w:val="8"/>
        </w:rPr>
        <w:t>十H</w:t>
      </w:r>
      <w:proofErr w:type="spellEnd"/>
      <w:r>
        <w:rPr>
          <w:rFonts w:ascii="Microsoft JhengHei" w:eastAsia="Microsoft JhengHei" w:hAnsi="Microsoft JhengHei" w:cs="Microsoft JhengHei"/>
          <w:sz w:val="8"/>
        </w:rPr>
        <w:t>- 0b2=0OH…</w:t>
      </w:r>
    </w:p>
    <w:p w:rsidR="00B644C0" w:rsidRDefault="009341B1">
      <w:pPr>
        <w:tabs>
          <w:tab w:val="center" w:pos="3634"/>
          <w:tab w:val="center" w:pos="9305"/>
        </w:tabs>
        <w:spacing w:after="0" w:line="259" w:lineRule="auto"/>
        <w:ind w:left="0"/>
        <w:jc w:val="left"/>
      </w:pPr>
      <w:r>
        <w:rPr>
          <w:sz w:val="2"/>
        </w:rPr>
        <w:tab/>
      </w:r>
      <w:r>
        <w:rPr>
          <w:rFonts w:ascii="Microsoft JhengHei" w:eastAsia="Microsoft JhengHei" w:hAnsi="Microsoft JhengHei" w:cs="Microsoft JhengHei"/>
          <w:sz w:val="2"/>
        </w:rPr>
        <w:t>2222WW66~ '[1</w:t>
      </w:r>
      <w:r>
        <w:rPr>
          <w:rFonts w:ascii="Microsoft JhengHei" w:eastAsia="Microsoft JhengHei" w:hAnsi="Microsoft JhengHei" w:cs="Microsoft JhengHei"/>
          <w:sz w:val="2"/>
        </w:rPr>
        <w:tab/>
        <w:t>WtH9H080t-12m0</w:t>
      </w:r>
    </w:p>
    <w:p w:rsidR="00B644C0" w:rsidRDefault="009341B1">
      <w:pPr>
        <w:spacing w:after="71" w:line="259" w:lineRule="auto"/>
        <w:ind w:left="10" w:right="4762" w:hanging="10"/>
        <w:jc w:val="right"/>
      </w:pPr>
      <w:r>
        <w:rPr>
          <w:rFonts w:ascii="Microsoft JhengHei" w:eastAsia="Microsoft JhengHei" w:hAnsi="Microsoft JhengHei" w:cs="Microsoft JhengHei"/>
          <w:sz w:val="2"/>
        </w:rPr>
        <w:t>9HËÌï1PLfLl</w:t>
      </w:r>
    </w:p>
    <w:p w:rsidR="00B644C0" w:rsidRDefault="009341B1">
      <w:pPr>
        <w:spacing w:after="250" w:line="259" w:lineRule="auto"/>
        <w:ind w:left="0" w:right="3917"/>
        <w:jc w:val="center"/>
      </w:pPr>
      <w:r>
        <w:rPr>
          <w:rFonts w:ascii="Microsoft JhengHei" w:eastAsia="Microsoft JhengHei" w:hAnsi="Microsoft JhengHei" w:cs="Microsoft JhengHei"/>
          <w:sz w:val="20"/>
        </w:rPr>
        <w:t>0</w:t>
      </w:r>
    </w:p>
    <w:p w:rsidR="00B644C0" w:rsidRDefault="009341B1">
      <w:pPr>
        <w:spacing w:after="0" w:line="860" w:lineRule="auto"/>
        <w:ind w:left="6067" w:right="3888" w:firstLine="79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1728396</wp:posOffset>
                </wp:positionH>
                <wp:positionV relativeFrom="paragraph">
                  <wp:posOffset>2560442</wp:posOffset>
                </wp:positionV>
                <wp:extent cx="798630" cy="126498"/>
                <wp:effectExtent l="0" t="0" r="0" b="0"/>
                <wp:wrapSquare wrapText="bothSides"/>
                <wp:docPr id="70157" name="Group 70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630" cy="126498"/>
                          <a:chOff x="0" y="0"/>
                          <a:chExt cx="798630" cy="126498"/>
                        </a:xfrm>
                      </wpg:grpSpPr>
                      <wps:wsp>
                        <wps:cNvPr id="3450" name="Rectangle 3450"/>
                        <wps:cNvSpPr/>
                        <wps:spPr>
                          <a:xfrm>
                            <a:off x="0" y="48770"/>
                            <a:ext cx="99127" cy="103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1" name="Rectangle 3451"/>
                        <wps:cNvSpPr/>
                        <wps:spPr>
                          <a:xfrm>
                            <a:off x="76205" y="42673"/>
                            <a:ext cx="77028" cy="107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2" name="Rectangle 3452"/>
                        <wps:cNvSpPr/>
                        <wps:spPr>
                          <a:xfrm>
                            <a:off x="134121" y="42673"/>
                            <a:ext cx="77028" cy="103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3" name="Rectangle 3453"/>
                        <wps:cNvSpPr/>
                        <wps:spPr>
                          <a:xfrm>
                            <a:off x="192037" y="39625"/>
                            <a:ext cx="89191" cy="107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4" name="Rectangle 3454"/>
                        <wps:cNvSpPr/>
                        <wps:spPr>
                          <a:xfrm>
                            <a:off x="259097" y="39625"/>
                            <a:ext cx="64866" cy="91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8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5" name="Rectangle 3455"/>
                        <wps:cNvSpPr/>
                        <wps:spPr>
                          <a:xfrm>
                            <a:off x="307868" y="30481"/>
                            <a:ext cx="85136" cy="11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6" name="Rectangle 3456"/>
                        <wps:cNvSpPr/>
                        <wps:spPr>
                          <a:xfrm>
                            <a:off x="371881" y="0"/>
                            <a:ext cx="66893" cy="13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7" name="Rectangle 3457"/>
                        <wps:cNvSpPr/>
                        <wps:spPr>
                          <a:xfrm>
                            <a:off x="422176" y="0"/>
                            <a:ext cx="46622" cy="113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28"/>
                                </w:rPr>
                                <w:t>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457231" y="24385"/>
                            <a:ext cx="89191" cy="107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9" name="Rectangle 3459"/>
                        <wps:cNvSpPr/>
                        <wps:spPr>
                          <a:xfrm>
                            <a:off x="524291" y="24385"/>
                            <a:ext cx="85136" cy="103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0" name="Rectangle 3460"/>
                        <wps:cNvSpPr/>
                        <wps:spPr>
                          <a:xfrm>
                            <a:off x="588303" y="18289"/>
                            <a:ext cx="68920" cy="113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1" name="Rectangle 3461"/>
                        <wps:cNvSpPr/>
                        <wps:spPr>
                          <a:xfrm>
                            <a:off x="640123" y="18289"/>
                            <a:ext cx="85136" cy="103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2" name="Rectangle 3462"/>
                        <wps:cNvSpPr/>
                        <wps:spPr>
                          <a:xfrm>
                            <a:off x="704135" y="15240"/>
                            <a:ext cx="77028" cy="107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 xml:space="preserve">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3" name="Rectangle 3463"/>
                        <wps:cNvSpPr/>
                        <wps:spPr>
                          <a:xfrm>
                            <a:off x="762051" y="15240"/>
                            <a:ext cx="48649" cy="99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4C0" w:rsidRDefault="009341B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157" style="width:62.8842pt;height:9.96045pt;position:absolute;mso-position-horizontal-relative:margin;mso-position-horizontal:absolute;margin-left:136.094pt;mso-position-vertical-relative:text;margin-top:201.61pt;" coordsize="7986,1264">
                <v:rect id="Rectangle 3450" style="position:absolute;width:991;height:1033;left:0;top: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3 </w:t>
                        </w:r>
                      </w:p>
                    </w:txbxContent>
                  </v:textbox>
                </v:rect>
                <v:rect id="Rectangle 3451" style="position:absolute;width:770;height:1074;left:762;top: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8 </w:t>
                        </w:r>
                      </w:p>
                    </w:txbxContent>
                  </v:textbox>
                </v:rect>
                <v:rect id="Rectangle 3452" style="position:absolute;width:770;height:1033;left:1341;top: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3453" style="position:absolute;width:891;height:1074;left:1920;top: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3454" style="position:absolute;width:648;height:912;left:2590;top: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8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3455" style="position:absolute;width:851;height:1114;left:3078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4 </w:t>
                        </w:r>
                      </w:p>
                    </w:txbxContent>
                  </v:textbox>
                </v:rect>
                <v:rect id="Rectangle 3456" style="position:absolute;width:668;height:1378;left:37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457" style="position:absolute;width:466;height:1135;left:42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28"/>
                          </w:rPr>
                          <w:t xml:space="preserve">丨</w:t>
                        </w:r>
                      </w:p>
                    </w:txbxContent>
                  </v:textbox>
                </v:rect>
                <v:rect id="Rectangle 3458" style="position:absolute;width:891;height:1074;left:4572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8 </w:t>
                        </w:r>
                      </w:p>
                    </w:txbxContent>
                  </v:textbox>
                </v:rect>
                <v:rect id="Rectangle 3459" style="position:absolute;width:851;height:1033;left:5242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3460" style="position:absolute;width:689;height:1135;left:5883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3461" style="position:absolute;width:851;height:1033;left:6401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7 </w:t>
                        </w:r>
                      </w:p>
                    </w:txbxContent>
                  </v:textbox>
                </v:rect>
                <v:rect id="Rectangle 3462" style="position:absolute;width:770;height:1074;left:7041;top: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9 </w:t>
                        </w:r>
                      </w:p>
                    </w:txbxContent>
                  </v:textbox>
                </v:rect>
                <v:rect id="Rectangle 3463" style="position:absolute;width:486;height:993;left:7620;top: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Microsoft JhengHei" w:eastAsia="Microsoft JhengHei" w:hAnsi="Microsoft JhengHei" w:cs="Microsoft JhengHei"/>
          <w:sz w:val="2"/>
        </w:rPr>
        <w:t>冖a一KV一9 丶10 V)l)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lGVaq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>(H)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OHa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>/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lHVVYGdVH</w:t>
      </w:r>
      <w:proofErr w:type="spellEnd"/>
    </w:p>
    <w:p w:rsidR="00B644C0" w:rsidRDefault="009341B1">
      <w:pPr>
        <w:tabs>
          <w:tab w:val="center" w:pos="4836"/>
          <w:tab w:val="center" w:pos="8876"/>
        </w:tabs>
        <w:spacing w:after="0" w:line="265" w:lineRule="auto"/>
        <w:ind w:left="0"/>
        <w:jc w:val="left"/>
      </w:pPr>
      <w:r>
        <w:rPr>
          <w:sz w:val="6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6"/>
        </w:rPr>
        <w:t>enfi</w:t>
      </w:r>
      <w:proofErr w:type="spellEnd"/>
      <w:r>
        <w:rPr>
          <w:rFonts w:ascii="Microsoft JhengHei" w:eastAsia="Microsoft JhengHei" w:hAnsi="Microsoft JhengHei" w:cs="Microsoft JhengHei"/>
          <w:sz w:val="6"/>
        </w:rPr>
        <w:tab/>
        <w:t>、6</w:t>
      </w:r>
    </w:p>
    <w:p w:rsidR="00B644C0" w:rsidRDefault="009341B1">
      <w:pPr>
        <w:spacing w:after="0" w:line="259" w:lineRule="auto"/>
        <w:ind w:left="10" w:right="3430" w:hanging="10"/>
        <w:jc w:val="right"/>
      </w:pPr>
      <w:r>
        <w:rPr>
          <w:rFonts w:ascii="Microsoft JhengHei" w:eastAsia="Microsoft JhengHei" w:hAnsi="Microsoft JhengHei" w:cs="Microsoft JhengHei"/>
          <w:sz w:val="8"/>
        </w:rPr>
        <w:t>乛一E9</w:t>
      </w:r>
    </w:p>
    <w:p w:rsidR="00B644C0" w:rsidRDefault="009341B1">
      <w:pPr>
        <w:spacing w:after="0" w:line="216" w:lineRule="auto"/>
        <w:ind w:left="3034" w:right="3430" w:firstLine="4901"/>
        <w:jc w:val="left"/>
      </w:pPr>
      <w:proofErr w:type="spellStart"/>
      <w:r>
        <w:rPr>
          <w:rFonts w:ascii="Microsoft JhengHei" w:eastAsia="Microsoft JhengHei" w:hAnsi="Microsoft JhengHei" w:cs="Microsoft JhengHei"/>
          <w:sz w:val="8"/>
        </w:rPr>
        <w:t>If</w:t>
      </w:r>
      <w:proofErr w:type="spellEnd"/>
      <w:r>
        <w:rPr>
          <w:rFonts w:ascii="Microsoft JhengHei" w:eastAsia="Microsoft JhengHei" w:hAnsi="Microsoft JhengHei" w:cs="Microsoft JhengHei"/>
          <w:sz w:val="8"/>
        </w:rPr>
        <w:t xml:space="preserve"> 9 I-I</w:t>
      </w:r>
      <w:r>
        <w:rPr>
          <w:rFonts w:ascii="Microsoft JhengHei" w:eastAsia="Microsoft JhengHei" w:hAnsi="Microsoft JhengHei" w:cs="Microsoft JhengHei"/>
          <w:sz w:val="8"/>
        </w:rPr>
        <w:tab/>
        <w:t>,=~~ 0</w:t>
      </w:r>
      <w:r>
        <w:rPr>
          <w:rFonts w:ascii="Microsoft JhengHei" w:eastAsia="Microsoft JhengHei" w:hAnsi="Microsoft JhengHei" w:cs="Microsoft JhengHei"/>
          <w:sz w:val="8"/>
          <w:u w:val="single" w:color="000000"/>
        </w:rPr>
        <w:t>0</w:t>
      </w:r>
      <w:r>
        <w:rPr>
          <w:rFonts w:ascii="Microsoft JhengHei" w:eastAsia="Microsoft JhengHei" w:hAnsi="Microsoft JhengHei" w:cs="Microsoft JhengHei"/>
          <w:sz w:val="8"/>
          <w:u w:val="double" w:color="000000"/>
        </w:rPr>
        <w:t xml:space="preserve">02 </w:t>
      </w:r>
      <w:r>
        <w:rPr>
          <w:rFonts w:ascii="Microsoft JhengHei" w:eastAsia="Microsoft JhengHei" w:hAnsi="Microsoft JhengHei" w:cs="Microsoft JhengHei"/>
          <w:sz w:val="8"/>
        </w:rPr>
        <w:t>0一 一18eh h 一</w:t>
      </w:r>
    </w:p>
    <w:p w:rsidR="00B644C0" w:rsidRDefault="009341B1">
      <w:pPr>
        <w:spacing w:after="0" w:line="265" w:lineRule="auto"/>
        <w:ind w:left="2933" w:right="3430" w:hanging="10"/>
        <w:jc w:val="left"/>
      </w:pPr>
      <w:r>
        <w:rPr>
          <w:rFonts w:ascii="Microsoft JhengHei" w:eastAsia="Microsoft JhengHei" w:hAnsi="Microsoft JhengHei" w:cs="Microsoft JhengHei"/>
          <w:sz w:val="6"/>
        </w:rPr>
        <w:t>一 0 R 9 一</w:t>
      </w:r>
    </w:p>
    <w:p w:rsidR="00B644C0" w:rsidRDefault="009341B1">
      <w:pPr>
        <w:spacing w:after="236" w:line="265" w:lineRule="auto"/>
        <w:ind w:left="2779" w:right="3430" w:hanging="10"/>
        <w:jc w:val="left"/>
      </w:pPr>
      <w:proofErr w:type="spellStart"/>
      <w:r>
        <w:rPr>
          <w:rFonts w:ascii="Microsoft JhengHei" w:eastAsia="Microsoft JhengHei" w:hAnsi="Microsoft JhengHei" w:cs="Microsoft JhengHei"/>
          <w:sz w:val="6"/>
        </w:rPr>
        <w:t>eH</w:t>
      </w:r>
      <w:proofErr w:type="spellEnd"/>
    </w:p>
    <w:p w:rsidR="00B644C0" w:rsidRDefault="009341B1">
      <w:pPr>
        <w:tabs>
          <w:tab w:val="center" w:pos="4375"/>
          <w:tab w:val="center" w:pos="9851"/>
        </w:tabs>
        <w:spacing w:after="0" w:line="259" w:lineRule="auto"/>
        <w:ind w:left="0"/>
        <w:jc w:val="left"/>
      </w:pPr>
      <w:r>
        <w:rPr>
          <w:sz w:val="4"/>
        </w:rPr>
        <w:tab/>
      </w:r>
      <w:r>
        <w:rPr>
          <w:rFonts w:ascii="Microsoft JhengHei" w:eastAsia="Microsoft JhengHei" w:hAnsi="Microsoft JhengHei" w:cs="Microsoft JhengHei"/>
          <w:sz w:val="4"/>
        </w:rPr>
        <w:t>…7 W乛9dEH</w:t>
      </w:r>
      <w:r>
        <w:rPr>
          <w:rFonts w:ascii="Microsoft JhengHei" w:eastAsia="Microsoft JhengHei" w:hAnsi="Microsoft JhengHei" w:cs="Microsoft JhengHei"/>
          <w:sz w:val="4"/>
        </w:rPr>
        <w:tab/>
        <w:t>H05一</w:t>
      </w:r>
    </w:p>
    <w:p w:rsidR="00B644C0" w:rsidRDefault="009341B1">
      <w:pPr>
        <w:tabs>
          <w:tab w:val="center" w:pos="4157"/>
          <w:tab w:val="center" w:pos="8280"/>
        </w:tabs>
        <w:spacing w:after="213" w:line="265" w:lineRule="auto"/>
        <w:ind w:left="0"/>
        <w:jc w:val="left"/>
      </w:pPr>
      <w:r>
        <w:rPr>
          <w:sz w:val="2"/>
        </w:rPr>
        <w:tab/>
      </w:r>
      <w:r>
        <w:rPr>
          <w:rFonts w:ascii="Microsoft JhengHei" w:eastAsia="Microsoft JhengHei" w:hAnsi="Microsoft JhengHei" w:cs="Microsoft JhengHei"/>
          <w:sz w:val="2"/>
        </w:rPr>
        <w:t>9HggeUf3</w:t>
      </w:r>
      <w:r>
        <w:rPr>
          <w:rFonts w:ascii="Microsoft JhengHei" w:eastAsia="Microsoft JhengHei" w:hAnsi="Microsoft JhengHei" w:cs="Microsoft JhengHei"/>
          <w:sz w:val="2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2"/>
        </w:rPr>
        <w:t>eYh</w:t>
      </w:r>
      <w:proofErr w:type="spellEnd"/>
    </w:p>
    <w:p w:rsidR="00B644C0" w:rsidRDefault="009341B1">
      <w:pPr>
        <w:pBdr>
          <w:left w:val="single" w:sz="2" w:space="0" w:color="000000"/>
        </w:pBdr>
        <w:spacing w:after="0" w:line="259" w:lineRule="auto"/>
        <w:ind w:left="3778"/>
        <w:jc w:val="lef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daOH</w:t>
      </w:r>
      <w:proofErr w:type="spellEnd"/>
    </w:p>
    <w:p w:rsidR="00B644C0" w:rsidRDefault="00B644C0">
      <w:pPr>
        <w:sectPr w:rsidR="00B644C0">
          <w:footerReference w:type="even" r:id="rId14"/>
          <w:footerReference w:type="default" r:id="rId15"/>
          <w:footerReference w:type="first" r:id="rId16"/>
          <w:pgSz w:w="11900" w:h="16820"/>
          <w:pgMar w:top="1651" w:right="1440" w:bottom="1440" w:left="1440" w:header="708" w:footer="708" w:gutter="0"/>
          <w:cols w:space="708"/>
          <w:textDirection w:val="tbRl"/>
        </w:sectPr>
      </w:pPr>
    </w:p>
    <w:p w:rsidR="00B644C0" w:rsidRDefault="009341B1">
      <w:pPr>
        <w:spacing w:after="170" w:line="254" w:lineRule="auto"/>
        <w:ind w:right="134"/>
      </w:pPr>
      <w:r>
        <w:rPr>
          <w:sz w:val="24"/>
        </w:rPr>
        <w:lastRenderedPageBreak/>
        <w:t xml:space="preserve">Приложение № 2 </w:t>
      </w:r>
      <w:proofErr w:type="spellStart"/>
      <w:r>
        <w:rPr>
          <w:sz w:val="24"/>
        </w:rPr>
        <w:t>кьм</w:t>
      </w:r>
      <w:proofErr w:type="spellEnd"/>
      <w:r>
        <w:rPr>
          <w:sz w:val="24"/>
        </w:rPr>
        <w:t xml:space="preserve"> чл. 6 от Наредбата за ОВОС</w:t>
      </w:r>
    </w:p>
    <w:p w:rsidR="00B644C0" w:rsidRDefault="009341B1">
      <w:pPr>
        <w:ind w:left="33"/>
      </w:pPr>
      <w:r>
        <w:t>(Изм. - ДВ, ф. 3 от 2006 г., изм. и доп. - Щ ф. 3 от 2011 г., изм. и доп. - ДВ, бр. 12 от 2016</w:t>
      </w:r>
    </w:p>
    <w:p w:rsidR="00B644C0" w:rsidRDefault="009341B1">
      <w:pPr>
        <w:ind w:left="33"/>
      </w:pPr>
      <w:r>
        <w:t>г., в сила от 12.02.2016 г., изм. - Щ, бр. 3 от 2018 г., изм. - ДВ, бр. 31 от 2019 г., в сила от</w:t>
      </w:r>
    </w:p>
    <w:p w:rsidR="00B644C0" w:rsidRDefault="009341B1">
      <w:pPr>
        <w:spacing w:after="687"/>
        <w:ind w:left="33"/>
      </w:pPr>
      <w:r>
        <w:t>12.04.2019 г.)</w:t>
      </w:r>
    </w:p>
    <w:p w:rsidR="00B644C0" w:rsidRDefault="009341B1">
      <w:pPr>
        <w:spacing w:after="220" w:line="254" w:lineRule="auto"/>
        <w:ind w:right="134"/>
      </w:pPr>
      <w:r>
        <w:rPr>
          <w:sz w:val="24"/>
        </w:rPr>
        <w:t xml:space="preserve">Информация за преценяване на </w:t>
      </w:r>
      <w:proofErr w:type="spellStart"/>
      <w:r>
        <w:rPr>
          <w:sz w:val="24"/>
        </w:rPr>
        <w:t>необходимостга</w:t>
      </w:r>
      <w:proofErr w:type="spellEnd"/>
      <w:r>
        <w:rPr>
          <w:sz w:val="24"/>
        </w:rPr>
        <w:t xml:space="preserve"> от ОВОС</w:t>
      </w:r>
    </w:p>
    <w:p w:rsidR="00B644C0" w:rsidRDefault="009341B1">
      <w:pPr>
        <w:spacing w:after="178" w:line="254" w:lineRule="auto"/>
        <w:ind w:right="134"/>
      </w:pPr>
      <w:r>
        <w:rPr>
          <w:sz w:val="24"/>
        </w:rPr>
        <w:t xml:space="preserve">1. Информация за контакт с </w:t>
      </w:r>
      <w:proofErr w:type="spellStart"/>
      <w:r>
        <w:rPr>
          <w:sz w:val="24"/>
        </w:rPr>
        <w:t>выложителя</w:t>
      </w:r>
      <w:proofErr w:type="spellEnd"/>
      <w:r>
        <w:rPr>
          <w:sz w:val="24"/>
        </w:rPr>
        <w:t>:</w:t>
      </w:r>
    </w:p>
    <w:p w:rsidR="00B644C0" w:rsidRDefault="009341B1">
      <w:pPr>
        <w:numPr>
          <w:ilvl w:val="0"/>
          <w:numId w:val="2"/>
        </w:numPr>
        <w:spacing w:after="212"/>
        <w:ind w:hanging="221"/>
      </w:pPr>
      <w:r>
        <w:t>Име, постоянен адрес, търговско наименование и седалище.</w:t>
      </w:r>
    </w:p>
    <w:p w:rsidR="00B644C0" w:rsidRDefault="009341B1">
      <w:pPr>
        <w:spacing w:line="471" w:lineRule="auto"/>
        <w:ind w:left="33" w:right="3259"/>
      </w:pPr>
      <w:r>
        <w:t xml:space="preserve">”ДКИ ЕС ТИ 71 ” ЕООД, ЕИК 201976536, </w:t>
      </w:r>
      <w:proofErr w:type="spellStart"/>
      <w:r>
        <w:t>гр.Пловдив</w:t>
      </w:r>
      <w:proofErr w:type="spellEnd"/>
      <w:r>
        <w:t xml:space="preserve"> 4000, район Източен, </w:t>
      </w:r>
      <w:proofErr w:type="spellStart"/>
      <w:r>
        <w:t>бул.Цариградско</w:t>
      </w:r>
      <w:proofErr w:type="spellEnd"/>
      <w:r>
        <w:t xml:space="preserve"> шосе № 53</w:t>
      </w:r>
    </w:p>
    <w:p w:rsidR="00B644C0" w:rsidRDefault="009341B1">
      <w:pPr>
        <w:numPr>
          <w:ilvl w:val="0"/>
          <w:numId w:val="2"/>
        </w:numPr>
        <w:spacing w:after="183"/>
        <w:ind w:hanging="221"/>
      </w:pPr>
      <w:r>
        <w:t xml:space="preserve">Пълен пощенски адрес. </w:t>
      </w:r>
      <w:proofErr w:type="spellStart"/>
      <w:r>
        <w:t>гр.Пловдив</w:t>
      </w:r>
      <w:proofErr w:type="spellEnd"/>
      <w:r>
        <w:t xml:space="preserve"> 4000, район Източен, </w:t>
      </w:r>
      <w:proofErr w:type="spellStart"/>
      <w:r>
        <w:t>бул.Цариградско</w:t>
      </w:r>
      <w:proofErr w:type="spellEnd"/>
      <w:r>
        <w:t xml:space="preserve"> шосе № 53</w:t>
      </w:r>
    </w:p>
    <w:p w:rsidR="00B644C0" w:rsidRDefault="009341B1">
      <w:pPr>
        <w:spacing w:after="190"/>
        <w:ind w:left="33"/>
      </w:pPr>
      <w:r>
        <w:t>З. Телефон, факс и e-</w:t>
      </w:r>
      <w:proofErr w:type="spellStart"/>
      <w:r>
        <w:t>mail</w:t>
      </w:r>
      <w:proofErr w:type="spellEnd"/>
      <w:r>
        <w:t>. +359 889 419 725</w:t>
      </w:r>
    </w:p>
    <w:p w:rsidR="00B644C0" w:rsidRDefault="009341B1">
      <w:pPr>
        <w:spacing w:after="187"/>
        <w:ind w:left="33"/>
      </w:pPr>
      <w:r>
        <w:t xml:space="preserve">4. Лице за контакти. Нина </w:t>
      </w:r>
      <w:proofErr w:type="spellStart"/>
      <w:r>
        <w:t>Мазева</w:t>
      </w:r>
      <w:proofErr w:type="spellEnd"/>
    </w:p>
    <w:p w:rsidR="00B644C0" w:rsidRDefault="009341B1">
      <w:pPr>
        <w:spacing w:after="183" w:line="254" w:lineRule="auto"/>
        <w:ind w:right="134"/>
      </w:pPr>
      <w:r>
        <w:rPr>
          <w:sz w:val="24"/>
        </w:rPr>
        <w:t>П. Резюме на инвестиционното предложение:</w:t>
      </w:r>
    </w:p>
    <w:p w:rsidR="00B644C0" w:rsidRDefault="009341B1">
      <w:pPr>
        <w:spacing w:after="200"/>
        <w:ind w:left="33"/>
      </w:pPr>
      <w:r>
        <w:rPr>
          <w:noProof/>
        </w:rPr>
        <w:drawing>
          <wp:inline distT="0" distB="0" distL="0" distR="0">
            <wp:extent cx="36578" cy="100589"/>
            <wp:effectExtent l="0" t="0" r="0" b="0"/>
            <wp:docPr id="11487" name="Picture 1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7" name="Picture 114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Характеристики на инвестиционното предложение:</w:t>
      </w:r>
    </w:p>
    <w:p w:rsidR="00B644C0" w:rsidRDefault="009341B1">
      <w:pPr>
        <w:spacing w:after="181"/>
        <w:ind w:left="33"/>
      </w:pPr>
      <w: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B644C0" w:rsidRDefault="009341B1">
      <w:pPr>
        <w:spacing w:after="200"/>
        <w:ind w:left="33" w:right="144"/>
      </w:pPr>
      <w:r>
        <w:t>Инвестиционното предложение е ново и предвижда изпълнение на един тръбен кладенец за нуждите на бъдеща Складова сграда за съхраняване на негорим строителен инвентар и инструменти.</w:t>
      </w:r>
    </w:p>
    <w:p w:rsidR="00B644C0" w:rsidRDefault="009341B1">
      <w:pPr>
        <w:spacing w:after="180"/>
        <w:ind w:left="33" w:right="144"/>
      </w:pPr>
      <w:r>
        <w:t>За осигуряване нуждите от вода за бъдеща Складова сграда за съхраняване на негорим строителен инвентар и инструменти ще бъде изпълнен тръбен кладенец с дълбочина до 20,0м.</w:t>
      </w:r>
    </w:p>
    <w:p w:rsidR="00B644C0" w:rsidRDefault="009341B1">
      <w:pPr>
        <w:spacing w:after="197"/>
        <w:ind w:left="33" w:right="130"/>
      </w:pPr>
      <w:proofErr w:type="spellStart"/>
      <w:r>
        <w:t>Филтьрната</w:t>
      </w:r>
      <w:proofErr w:type="spellEnd"/>
      <w:r>
        <w:t xml:space="preserve"> част на проектния тръбен кладенец ще бъде заложена в </w:t>
      </w:r>
      <w:proofErr w:type="spellStart"/>
      <w:r>
        <w:t>кватернерния</w:t>
      </w:r>
      <w:proofErr w:type="spellEnd"/>
      <w:r>
        <w:t xml:space="preserve"> водоносен хоризонт, който е част от подземно водно тяло BG3G000000Q013 „Порови води в Кватернер - Горнотракийска низина”.</w:t>
      </w:r>
    </w:p>
    <w:p w:rsidR="00B644C0" w:rsidRDefault="009341B1">
      <w:pPr>
        <w:spacing w:after="204"/>
        <w:ind w:left="33"/>
      </w:pPr>
      <w:r>
        <w:t xml:space="preserve">б) взаимовръзка и </w:t>
      </w:r>
      <w:proofErr w:type="spellStart"/>
      <w:r>
        <w:t>кумулиране</w:t>
      </w:r>
      <w:proofErr w:type="spellEnd"/>
      <w:r>
        <w:t xml:space="preserve"> с други съществуващи и/или одобрени инвестиционни предложения;</w:t>
      </w:r>
    </w:p>
    <w:p w:rsidR="00B644C0" w:rsidRDefault="009341B1">
      <w:pPr>
        <w:spacing w:after="325"/>
        <w:ind w:left="33"/>
      </w:pPr>
      <w:r>
        <w:t>Настоящото инвестиционно предложение няма връзка с други съществуващи или одобрени</w:t>
      </w:r>
    </w:p>
    <w:p w:rsidR="00B644C0" w:rsidRDefault="009341B1">
      <w:pPr>
        <w:spacing w:after="190"/>
        <w:ind w:left="33"/>
      </w:pPr>
      <w:r>
        <w:t>Изграждането на собствен водоизточник (ТК) е с цел осигурява подземна вода за нуждите на бъдещата Производствена и складова база.</w:t>
      </w:r>
    </w:p>
    <w:p w:rsidR="00B644C0" w:rsidRDefault="009341B1">
      <w:pPr>
        <w:spacing w:after="360"/>
        <w:ind w:left="33"/>
      </w:pPr>
      <w: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B644C0" w:rsidRDefault="009341B1">
      <w:pPr>
        <w:spacing w:after="0" w:line="259" w:lineRule="auto"/>
        <w:ind w:left="0" w:right="86"/>
        <w:jc w:val="right"/>
      </w:pPr>
      <w:r>
        <w:rPr>
          <w:sz w:val="30"/>
        </w:rPr>
        <w:t>1</w:t>
      </w:r>
    </w:p>
    <w:p w:rsidR="00B644C0" w:rsidRDefault="009341B1">
      <w:pPr>
        <w:spacing w:after="217"/>
        <w:ind w:left="33" w:right="139"/>
      </w:pPr>
      <w:r>
        <w:lastRenderedPageBreak/>
        <w:t xml:space="preserve">По време на извършване на сондажните работи, </w:t>
      </w:r>
      <w:proofErr w:type="spellStart"/>
      <w:r>
        <w:t>инвестиционного</w:t>
      </w:r>
      <w:proofErr w:type="spellEnd"/>
      <w:r>
        <w:t xml:space="preserve">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</w:t>
      </w:r>
      <w:proofErr w:type="spellStart"/>
      <w:r>
        <w:t>хорам</w:t>
      </w:r>
      <w:proofErr w:type="spellEnd"/>
      <w:r>
        <w:t>.</w:t>
      </w:r>
    </w:p>
    <w:p w:rsidR="00B644C0" w:rsidRDefault="009341B1">
      <w:pPr>
        <w:spacing w:after="65"/>
        <w:ind w:left="33" w:right="139"/>
      </w:pPr>
      <w:r>
        <w:t xml:space="preserve">За </w:t>
      </w:r>
      <w:proofErr w:type="spellStart"/>
      <w:r>
        <w:t>изпълнениеето</w:t>
      </w:r>
      <w:proofErr w:type="spellEnd"/>
      <w:r>
        <w:t xml:space="preserve"> на ТК ще се използват горива за сондата и компресора, PVC тръби за сондажа, филц за </w:t>
      </w:r>
      <w:proofErr w:type="spellStart"/>
      <w:r>
        <w:t>задтръбното</w:t>
      </w:r>
      <w:proofErr w:type="spellEnd"/>
      <w:r>
        <w:t xml:space="preserve"> пространство в </w:t>
      </w:r>
      <w:proofErr w:type="spellStart"/>
      <w:r>
        <w:t>прифилтровата</w:t>
      </w:r>
      <w:proofErr w:type="spellEnd"/>
      <w:r>
        <w:t xml:space="preserve"> част на експлоатационната колона и </w:t>
      </w:r>
      <w:proofErr w:type="spellStart"/>
      <w:r>
        <w:t>бентонитова</w:t>
      </w:r>
      <w:proofErr w:type="spellEnd"/>
      <w:r>
        <w:t xml:space="preserve"> глина.</w:t>
      </w:r>
    </w:p>
    <w:p w:rsidR="00B644C0" w:rsidRDefault="009341B1">
      <w:pPr>
        <w:spacing w:after="201"/>
        <w:ind w:left="33"/>
      </w:pPr>
      <w:r>
        <w:t>г) генериране на отпадъци - видове, количества и начин на третиране, и отпадъчни води;</w:t>
      </w:r>
    </w:p>
    <w:p w:rsidR="00B644C0" w:rsidRDefault="009341B1">
      <w:pPr>
        <w:spacing w:after="92" w:line="372" w:lineRule="auto"/>
        <w:ind w:left="33" w:right="139"/>
      </w:pPr>
      <w:proofErr w:type="spellStart"/>
      <w:r>
        <w:t>Шламът</w:t>
      </w:r>
      <w:proofErr w:type="spellEnd"/>
      <w:r>
        <w:t xml:space="preserve">, получен при сондирането ще се събира в </w:t>
      </w:r>
      <w:proofErr w:type="spellStart"/>
      <w:r>
        <w:t>утайна</w:t>
      </w:r>
      <w:proofErr w:type="spellEnd"/>
      <w:r>
        <w:t xml:space="preserve"> яма. След приключване на сондирането терена на сондажната площадка ще бъде </w:t>
      </w:r>
      <w:proofErr w:type="spellStart"/>
      <w:r>
        <w:t>рекултивиран</w:t>
      </w:r>
      <w:proofErr w:type="spellEnd"/>
      <w:r>
        <w:t>. При експлоатацията на кладенеца няма да се формират отпадъци.</w:t>
      </w:r>
    </w:p>
    <w:p w:rsidR="00B644C0" w:rsidRDefault="009341B1">
      <w:pPr>
        <w:spacing w:after="232"/>
        <w:ind w:left="33"/>
      </w:pPr>
      <w:r>
        <w:t>д) замърсяване и вредно въздействие; дискомфорт на околната среда;</w:t>
      </w:r>
    </w:p>
    <w:p w:rsidR="00B644C0" w:rsidRDefault="009341B1">
      <w:pPr>
        <w:spacing w:after="49"/>
        <w:ind w:left="33" w:right="144"/>
      </w:pPr>
      <w:r>
        <w:t>Предвиденото инвестиционно предложение не предполага замърсяване на почвите, водите и атмосферния въздух в района при изпълнението на кладенеца и по време на експлоатацията му. Не се предвижда използване на горивни процеси по време на сондажните работи. Прогнозната оценка за очакваното емисионно натоварване на атмосферния въздух в района на проектния кладенец при изпълнението му ще бъде незначително, локално, временно и ще засегне предимно работната площадка. Не се предвижда отделяне на емисии на замърсители или опасни, токсични или вредни вещества в атмосферния въздух в района. От реализирането на инвестиционното намерение [строителство, експлоатация/ не се очакват вредни физични фактори — вибрации, светлинни, топлинни, електромагнитни и йонизиращи лъчения, с изключение на шум, който ще бъде под 50dB ( наредба 6/26.062006 на МЗ и мост.</w:t>
      </w:r>
    </w:p>
    <w:p w:rsidR="00B644C0" w:rsidRDefault="009341B1">
      <w:pPr>
        <w:spacing w:after="207"/>
        <w:ind w:left="33"/>
      </w:pPr>
      <w:r>
        <w:t>е) риск от големи аварии и/или бедствия, които са свързани с инвестиционното предложение;</w:t>
      </w:r>
    </w:p>
    <w:p w:rsidR="00B644C0" w:rsidRDefault="009341B1">
      <w:pPr>
        <w:spacing w:after="223"/>
        <w:ind w:left="33" w:right="139"/>
      </w:pPr>
      <w:r>
        <w:t>Политиката на ”ДЖИ ЕС ТИ 71 ” ЕООД при избор на изпълнител за реализация на проекта е да изисква добра организация и използване на най-съвременни методи в процеса на изпълнение на водоизточника, които трябва да гарантират недопускане на инциденти — отрицателно въздействие върху околната среда, включително на площадката и прилежащите й територии.</w:t>
      </w:r>
    </w:p>
    <w:p w:rsidR="00B644C0" w:rsidRDefault="009341B1">
      <w:pPr>
        <w:spacing w:after="255"/>
        <w:ind w:left="33" w:right="130"/>
      </w:pPr>
      <w:r>
        <w:t xml:space="preserve">ж) рисковете за човешкото здраве поради неблагоприятно </w:t>
      </w:r>
      <w:proofErr w:type="spellStart"/>
      <w:r>
        <w:t>выдействие</w:t>
      </w:r>
      <w:proofErr w:type="spellEnd"/>
      <w:r>
        <w:t xml:space="preserve"> върху факторите на </w:t>
      </w:r>
      <w:proofErr w:type="spellStart"/>
      <w:r>
        <w:t>жвнената</w:t>
      </w:r>
      <w:proofErr w:type="spellEnd"/>
      <w:r>
        <w:t xml:space="preserve"> среда по смисъла на S 1, т. 12 от допълнителните разпоредби на Закона за здравето.</w:t>
      </w:r>
    </w:p>
    <w:p w:rsidR="00B644C0" w:rsidRDefault="009341B1">
      <w:pPr>
        <w:spacing w:after="254"/>
        <w:ind w:left="33" w:right="125"/>
      </w:pPr>
      <w:r>
        <w:t xml:space="preserve">Реализирането на инвестиционното предложение няма да окаже отрицателно </w:t>
      </w:r>
      <w:proofErr w:type="spellStart"/>
      <w:r>
        <w:t>выдействие</w:t>
      </w:r>
      <w:proofErr w:type="spellEnd"/>
      <w:r>
        <w:t xml:space="preserve"> върху здравето на населението в района. По време на изпълнението на кладенеца, здравният риск на работещите се формира от наличните вредни фактори на работната среда /шум, вибрации, прах/. Определените въздействия са ограничени в периода на изпълнение на кладенеца.</w:t>
      </w:r>
    </w:p>
    <w:p w:rsidR="00B644C0" w:rsidRDefault="009341B1">
      <w:pPr>
        <w:ind w:left="33"/>
      </w:pPr>
      <w:r>
        <w:t>При експлоатацията на кладенеца не се очаква промяна в качеството на атмосферния въздух,</w:t>
      </w:r>
    </w:p>
    <w:p w:rsidR="00B644C0" w:rsidRDefault="009341B1">
      <w:pPr>
        <w:spacing w:after="256" w:line="254" w:lineRule="auto"/>
        <w:ind w:right="134"/>
      </w:pPr>
      <w:r>
        <w:rPr>
          <w:sz w:val="24"/>
        </w:rPr>
        <w:t>т.е. няма да се отделят вредности от работата му.</w:t>
      </w:r>
    </w:p>
    <w:p w:rsidR="00B644C0" w:rsidRDefault="009341B1">
      <w:pPr>
        <w:numPr>
          <w:ilvl w:val="0"/>
          <w:numId w:val="3"/>
        </w:numPr>
      </w:pPr>
      <w:r>
        <w:t>Местоположение на площадката, включително необходима площ за временни дейности по време на строителството.</w:t>
      </w:r>
    </w:p>
    <w:p w:rsidR="00B644C0" w:rsidRDefault="009341B1">
      <w:pPr>
        <w:spacing w:after="253"/>
        <w:ind w:left="125"/>
      </w:pPr>
      <w:r>
        <w:t>Складовата сграда за съхраняване на негорим строителен инвентар и инструменти се проектира в имот ПИ 47295.22.1100 по КККР на село Марково, община Родопи, област Пловдив.</w:t>
      </w:r>
    </w:p>
    <w:p w:rsidR="00B644C0" w:rsidRDefault="009341B1">
      <w:pPr>
        <w:spacing w:after="207"/>
        <w:ind w:left="120"/>
      </w:pPr>
      <w:r>
        <w:t>Проектният тръбен кладенец ще бъде изпълнен също в имот ПИ 47295.22.1100 по КККР на село Марково, община Родопи, област Пловдив.</w:t>
      </w:r>
    </w:p>
    <w:p w:rsidR="00B644C0" w:rsidRDefault="009341B1">
      <w:pPr>
        <w:spacing w:after="402"/>
        <w:ind w:left="120"/>
      </w:pPr>
      <w:r>
        <w:lastRenderedPageBreak/>
        <w:t>Няма да се засягат съседни имоти.</w:t>
      </w:r>
    </w:p>
    <w:p w:rsidR="00B644C0" w:rsidRDefault="009341B1">
      <w:pPr>
        <w:numPr>
          <w:ilvl w:val="0"/>
          <w:numId w:val="3"/>
        </w:numPr>
        <w:spacing w:after="94"/>
      </w:pPr>
      <w:r>
        <w:t xml:space="preserve">Описание на основните процеси (по </w:t>
      </w:r>
      <w:proofErr w:type="spellStart"/>
      <w:r>
        <w:t>проспектни</w:t>
      </w:r>
      <w:proofErr w:type="spellEnd"/>
      <w:r>
        <w:t xml:space="preserve"> данни), капацитет, включително на съоръженията, в които се очаква да са налични опасни вещества от приложение № 3 към </w:t>
      </w:r>
      <w:proofErr w:type="spellStart"/>
      <w:r>
        <w:t>зоос</w:t>
      </w:r>
      <w:proofErr w:type="spellEnd"/>
    </w:p>
    <w:p w:rsidR="00B644C0" w:rsidRDefault="009341B1">
      <w:pPr>
        <w:spacing w:after="35"/>
        <w:ind w:left="120"/>
      </w:pPr>
      <w:r>
        <w:t xml:space="preserve">Изпълнението на ТК с дълбочина 20 т ще се извърши със сондажна апаратура УГБ - без промивна течност. Експлоатационната колона ще бъде от РУС тръби и филтри 2140. В </w:t>
      </w:r>
      <w:proofErr w:type="spellStart"/>
      <w:r>
        <w:t>задтръбното</w:t>
      </w:r>
      <w:proofErr w:type="spellEnd"/>
      <w:r>
        <w:t xml:space="preserve"> пространство, в </w:t>
      </w:r>
      <w:proofErr w:type="spellStart"/>
      <w:r>
        <w:t>прифилтровата</w:t>
      </w:r>
      <w:proofErr w:type="spellEnd"/>
      <w:r>
        <w:t xml:space="preserve"> част на експлоатационната колона ще бъде изпълнена </w:t>
      </w:r>
      <w:proofErr w:type="spellStart"/>
      <w:r>
        <w:t>гравийна</w:t>
      </w:r>
      <w:proofErr w:type="spellEnd"/>
      <w:r>
        <w:t xml:space="preserve"> </w:t>
      </w:r>
      <w:proofErr w:type="spellStart"/>
      <w:r>
        <w:t>обсипка</w:t>
      </w:r>
      <w:proofErr w:type="spellEnd"/>
      <w:r>
        <w:t xml:space="preserve">. Над </w:t>
      </w:r>
      <w:proofErr w:type="spellStart"/>
      <w:r>
        <w:t>обсипката</w:t>
      </w:r>
      <w:proofErr w:type="spellEnd"/>
      <w:r>
        <w:t xml:space="preserve"> ще бъде направен глинест </w:t>
      </w:r>
      <w:proofErr w:type="spellStart"/>
      <w:r>
        <w:t>тампонаж</w:t>
      </w:r>
      <w:proofErr w:type="spellEnd"/>
      <w:r>
        <w:t>. За бъдещия обект ще се използва съществуващата инфраструктурна мрежа в района.</w:t>
      </w:r>
    </w:p>
    <w:p w:rsidR="00B644C0" w:rsidRDefault="009341B1">
      <w:pPr>
        <w:spacing w:after="64"/>
        <w:ind w:left="120"/>
      </w:pPr>
      <w:r>
        <w:t>Електрическото захранване на обекта ще се осъществи от електроразпределителната мрежа на EVN.</w:t>
      </w:r>
    </w:p>
    <w:p w:rsidR="00B644C0" w:rsidRDefault="009341B1">
      <w:pPr>
        <w:spacing w:after="31" w:line="278" w:lineRule="auto"/>
        <w:ind w:left="125" w:hanging="10"/>
        <w:jc w:val="left"/>
      </w:pPr>
      <w:r>
        <w:t>За питейни нужди на работещите в бъдещата Складова сграда за съхраняване на негорим строителен инвентар и инструменти ще се доставя бутилирана вода от лицензиран доставчик чрез</w:t>
      </w:r>
      <w:r>
        <w:tab/>
        <w:t>сключване</w:t>
      </w:r>
      <w:r>
        <w:tab/>
        <w:t>на</w:t>
      </w:r>
      <w:r>
        <w:tab/>
        <w:t>договор.</w:t>
      </w:r>
      <w:r>
        <w:tab/>
        <w:t>Електрозахранването</w:t>
      </w:r>
      <w:r>
        <w:tab/>
        <w:t>от</w:t>
      </w:r>
      <w:r>
        <w:tab/>
        <w:t>съществуващата електроразпределителна мрежа.</w:t>
      </w:r>
    </w:p>
    <w:p w:rsidR="00B644C0" w:rsidRDefault="009341B1">
      <w:pPr>
        <w:spacing w:after="509"/>
        <w:ind w:left="120"/>
      </w:pPr>
      <w:r>
        <w:t xml:space="preserve">Отпадните води ще се </w:t>
      </w:r>
      <w:proofErr w:type="spellStart"/>
      <w:r>
        <w:t>заустват</w:t>
      </w:r>
      <w:proofErr w:type="spellEnd"/>
      <w:r>
        <w:t xml:space="preserve"> във </w:t>
      </w:r>
      <w:proofErr w:type="spellStart"/>
      <w:r>
        <w:t>водоплътна</w:t>
      </w:r>
      <w:proofErr w:type="spellEnd"/>
      <w:r>
        <w:t xml:space="preserve"> яма.</w:t>
      </w:r>
    </w:p>
    <w:p w:rsidR="00B644C0" w:rsidRDefault="009341B1">
      <w:pPr>
        <w:numPr>
          <w:ilvl w:val="0"/>
          <w:numId w:val="4"/>
        </w:numPr>
        <w:spacing w:after="253"/>
        <w:ind w:hanging="317"/>
      </w:pPr>
      <w:r>
        <w:t>Схема на нова или промяна на съществуваща пътна инфраструктура.</w:t>
      </w:r>
    </w:p>
    <w:p w:rsidR="00B644C0" w:rsidRDefault="009341B1">
      <w:pPr>
        <w:spacing w:after="229"/>
        <w:ind w:left="120"/>
      </w:pPr>
      <w:r>
        <w:t xml:space="preserve">Не се предвижда изграждане на нова пътна инфраструктура във връзка с реализацията на Ш], тъй като </w:t>
      </w:r>
      <w:proofErr w:type="spellStart"/>
      <w:r>
        <w:t>достьпът</w:t>
      </w:r>
      <w:proofErr w:type="spellEnd"/>
      <w:r>
        <w:t xml:space="preserve"> до обекта ще се осъществява посредством вече съществуваща пътна връзка</w:t>
      </w:r>
    </w:p>
    <w:p w:rsidR="00B644C0" w:rsidRDefault="009341B1">
      <w:pPr>
        <w:spacing w:after="241"/>
        <w:ind w:left="120"/>
      </w:pPr>
      <w:r>
        <w:t xml:space="preserve">Отпадните води ще се </w:t>
      </w:r>
      <w:proofErr w:type="spellStart"/>
      <w:r>
        <w:t>заустват</w:t>
      </w:r>
      <w:proofErr w:type="spellEnd"/>
      <w:r>
        <w:t xml:space="preserve"> във </w:t>
      </w:r>
      <w:proofErr w:type="spellStart"/>
      <w:r>
        <w:t>водоплътна</w:t>
      </w:r>
      <w:proofErr w:type="spellEnd"/>
      <w:r>
        <w:t xml:space="preserve"> яма.</w:t>
      </w:r>
    </w:p>
    <w:p w:rsidR="00B644C0" w:rsidRDefault="009341B1">
      <w:pPr>
        <w:numPr>
          <w:ilvl w:val="0"/>
          <w:numId w:val="4"/>
        </w:numPr>
        <w:spacing w:after="243"/>
        <w:ind w:hanging="317"/>
      </w:pPr>
      <w:r>
        <w:t xml:space="preserve">Програма за дейностите, включително за строителство, експлоатация и фазите на закриване, </w:t>
      </w:r>
      <w:proofErr w:type="spellStart"/>
      <w:r>
        <w:t>выстановяване</w:t>
      </w:r>
      <w:proofErr w:type="spellEnd"/>
      <w:r>
        <w:t xml:space="preserve"> и последващо използване.</w:t>
      </w:r>
    </w:p>
    <w:p w:rsidR="00B644C0" w:rsidRDefault="009341B1">
      <w:pPr>
        <w:spacing w:line="320" w:lineRule="auto"/>
        <w:ind w:left="115"/>
      </w:pPr>
      <w:r>
        <w:t xml:space="preserve">Изпълнението на ТК ще се осъществи по проект, след издаване на разрешително за </w:t>
      </w:r>
      <w:proofErr w:type="spellStart"/>
      <w:r>
        <w:t>водовземане</w:t>
      </w:r>
      <w:proofErr w:type="spellEnd"/>
      <w:r>
        <w:t xml:space="preserve"> от подземни води, чрез нови </w:t>
      </w:r>
      <w:proofErr w:type="spellStart"/>
      <w:r>
        <w:t>водовземни</w:t>
      </w:r>
      <w:proofErr w:type="spellEnd"/>
      <w:r>
        <w:t xml:space="preserve"> съоръжения от директора на БД ИБР. След изпълнение на ТК, ще се извърши въвеждането му в експлоатация заедно с бъдещата Производствена и складова база.</w:t>
      </w:r>
    </w:p>
    <w:p w:rsidR="00B644C0" w:rsidRDefault="009341B1">
      <w:pPr>
        <w:spacing w:after="344"/>
        <w:ind w:left="120"/>
      </w:pPr>
      <w:r>
        <w:t>На този етап не се предвиждат мероприятия по закриване на обекта.</w:t>
      </w:r>
    </w:p>
    <w:p w:rsidR="00B644C0" w:rsidRDefault="009341B1">
      <w:pPr>
        <w:numPr>
          <w:ilvl w:val="0"/>
          <w:numId w:val="4"/>
        </w:numPr>
        <w:spacing w:after="253"/>
        <w:ind w:hanging="317"/>
      </w:pPr>
      <w:r>
        <w:t>Предлагани методи за строителство.</w:t>
      </w:r>
    </w:p>
    <w:p w:rsidR="00B644C0" w:rsidRDefault="009341B1">
      <w:pPr>
        <w:spacing w:after="218"/>
        <w:ind w:left="125"/>
      </w:pPr>
      <w:r>
        <w:t>Сондирането на проектния тръбен кладенец ще се извърши със сондажна апаратура УГБ без промивна течност.</w:t>
      </w:r>
    </w:p>
    <w:p w:rsidR="00B644C0" w:rsidRDefault="009341B1">
      <w:pPr>
        <w:numPr>
          <w:ilvl w:val="0"/>
          <w:numId w:val="4"/>
        </w:numPr>
        <w:ind w:hanging="317"/>
      </w:pPr>
      <w:r>
        <w:t xml:space="preserve">Доказване на </w:t>
      </w:r>
      <w:proofErr w:type="spellStart"/>
      <w:r>
        <w:t>необходимостга</w:t>
      </w:r>
      <w:proofErr w:type="spellEnd"/>
      <w:r>
        <w:t xml:space="preserve"> от инвестиционното предложение.</w:t>
      </w:r>
    </w:p>
    <w:p w:rsidR="00B644C0" w:rsidRDefault="009341B1">
      <w:pPr>
        <w:spacing w:after="229"/>
        <w:ind w:left="33" w:right="125"/>
      </w:pPr>
      <w:r>
        <w:t xml:space="preserve">С реализацията на инвестиционното предложение ще се подпомогне социално </w:t>
      </w:r>
      <w:r>
        <w:rPr>
          <w:noProof/>
        </w:rPr>
        <w:drawing>
          <wp:inline distT="0" distB="0" distL="0" distR="0">
            <wp:extent cx="73157" cy="6096"/>
            <wp:effectExtent l="0" t="0" r="0" b="0"/>
            <wp:docPr id="18734" name="Picture 18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4" name="Picture 187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икономическото развитие на района. Изграждането и експлоатацията на обекта ще допринесе за разкриване на нови работни места за местното население.</w:t>
      </w:r>
    </w:p>
    <w:p w:rsidR="00B644C0" w:rsidRDefault="009341B1">
      <w:pPr>
        <w:spacing w:after="281"/>
        <w:ind w:left="33" w:right="139"/>
      </w:pPr>
      <w:r>
        <w:t xml:space="preserve">Изграждането на сондажния кладенец е необходимо, </w:t>
      </w:r>
      <w:proofErr w:type="spellStart"/>
      <w:r>
        <w:t>тьй</w:t>
      </w:r>
      <w:proofErr w:type="spellEnd"/>
      <w:r>
        <w:t xml:space="preserve"> като чрез него ще се осигурят водни количества за бъдеща Складова страда за съхраняване на негорим строителен инвентар и инструменти.</w:t>
      </w:r>
    </w:p>
    <w:p w:rsidR="00B644C0" w:rsidRDefault="009341B1">
      <w:pPr>
        <w:numPr>
          <w:ilvl w:val="0"/>
          <w:numId w:val="4"/>
        </w:numPr>
        <w:spacing w:after="231"/>
        <w:ind w:hanging="317"/>
      </w:pPr>
      <w:r>
        <w:lastRenderedPageBreak/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B644C0" w:rsidRDefault="009341B1">
      <w:pPr>
        <w:spacing w:after="237"/>
        <w:ind w:left="33"/>
      </w:pPr>
      <w:proofErr w:type="spellStart"/>
      <w:r>
        <w:t>ИНВеСТИЦИОННОТО</w:t>
      </w:r>
      <w:proofErr w:type="spellEnd"/>
      <w:r>
        <w:t xml:space="preserve"> предложение ще се реализира южно от град Пловдив.</w:t>
      </w:r>
    </w:p>
    <w:p w:rsidR="00B644C0" w:rsidRDefault="009341B1">
      <w:pPr>
        <w:spacing w:after="260"/>
        <w:ind w:left="33"/>
      </w:pPr>
      <w:r>
        <w:t>Проектният тръбен кладенец ще бъде изпълнен в имот ПИ 47295.221100 по КККР на село Марково, община Родопи, област Пловдив.</w:t>
      </w:r>
    </w:p>
    <w:p w:rsidR="00B644C0" w:rsidRDefault="009341B1">
      <w:pPr>
        <w:spacing w:after="40"/>
        <w:ind w:left="33"/>
      </w:pPr>
      <w:r>
        <w:t>Имотът не попада в границите на защитени територии по смисъла на ВТ, и не попада в границите на защитени зони от Европейската екологична мрежа „Натура 2000”.</w:t>
      </w:r>
    </w:p>
    <w:p w:rsidR="00B644C0" w:rsidRDefault="009341B1">
      <w:pPr>
        <w:spacing w:after="390"/>
        <w:ind w:left="33" w:right="2909"/>
      </w:pPr>
      <w:r>
        <w:t xml:space="preserve">Няма необходимост от изграждане на нова инфраструктура. Няма трансгранично </w:t>
      </w:r>
      <w:proofErr w:type="spellStart"/>
      <w:r>
        <w:t>выдействие</w:t>
      </w:r>
      <w:proofErr w:type="spellEnd"/>
      <w:r>
        <w:t>.</w:t>
      </w:r>
    </w:p>
    <w:p w:rsidR="00B644C0" w:rsidRDefault="009341B1">
      <w:pPr>
        <w:numPr>
          <w:ilvl w:val="0"/>
          <w:numId w:val="4"/>
        </w:numPr>
        <w:spacing w:after="249"/>
        <w:ind w:hanging="317"/>
      </w:pPr>
      <w:r>
        <w:t xml:space="preserve">Съществуващо </w:t>
      </w:r>
      <w:proofErr w:type="spellStart"/>
      <w:r>
        <w:t>земеползване</w:t>
      </w:r>
      <w:proofErr w:type="spellEnd"/>
      <w:r>
        <w:t xml:space="preserve"> по границите на площадката или трасето на инвестиционното предложение.</w:t>
      </w:r>
    </w:p>
    <w:p w:rsidR="00B644C0" w:rsidRDefault="009341B1">
      <w:pPr>
        <w:spacing w:after="254"/>
        <w:ind w:left="33"/>
      </w:pPr>
      <w:proofErr w:type="spellStart"/>
      <w:r>
        <w:t>Имотьт</w:t>
      </w:r>
      <w:proofErr w:type="spellEnd"/>
      <w:r>
        <w:t>, в който ще се изпълни ИГТ, има осигурен пряк излаз на асфалтов път.</w:t>
      </w:r>
    </w:p>
    <w:p w:rsidR="00B644C0" w:rsidRDefault="009341B1">
      <w:pPr>
        <w:spacing w:after="275"/>
        <w:ind w:left="33"/>
      </w:pPr>
      <w:r>
        <w:t xml:space="preserve">При изпълнението и експлоатацията на </w:t>
      </w:r>
      <w:proofErr w:type="spellStart"/>
      <w:r>
        <w:t>водовземното</w:t>
      </w:r>
      <w:proofErr w:type="spellEnd"/>
      <w:r>
        <w:t xml:space="preserve"> съоръжение няма да бъдат засегнати съседни имоти.</w:t>
      </w:r>
    </w:p>
    <w:p w:rsidR="00B644C0" w:rsidRDefault="009341B1">
      <w:pPr>
        <w:numPr>
          <w:ilvl w:val="0"/>
          <w:numId w:val="4"/>
        </w:numPr>
        <w:spacing w:after="52"/>
        <w:ind w:hanging="317"/>
      </w:pPr>
      <w:r>
        <w:t>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B644C0" w:rsidRDefault="009341B1">
      <w:pPr>
        <w:spacing w:after="250"/>
        <w:ind w:left="33" w:right="139"/>
      </w:pPr>
      <w:proofErr w:type="spellStart"/>
      <w:r>
        <w:t>Тереньт</w:t>
      </w:r>
      <w:proofErr w:type="spellEnd"/>
      <w:r>
        <w:t>, в който ще се реализира инвестиционното предложение, не попада в границите на защитени територии, по смисъла на Закона за защитените територии (ВТ), както и в границите на защитени зони от Европейската екологична мрежа „Натура 2000”.</w:t>
      </w:r>
    </w:p>
    <w:p w:rsidR="00B644C0" w:rsidRDefault="009341B1">
      <w:pPr>
        <w:spacing w:after="268"/>
        <w:ind w:left="33" w:right="139"/>
      </w:pPr>
      <w:r>
        <w:t>Най-близко разположената защитена зона от Европейската екологична мрежа „НАТУРА 2000” до територията, на която ще се реализира инвестиционното предложение, е защитена зона BG 0001033 „Брестовица”.</w:t>
      </w:r>
    </w:p>
    <w:p w:rsidR="00B644C0" w:rsidRDefault="009341B1">
      <w:pPr>
        <w:spacing w:after="70"/>
        <w:ind w:left="33"/>
      </w:pPr>
      <w:r>
        <w:t>ИМОТЪТ, предмет на ШТ, не попада в границите на защитени територии по смисъла на чл.5 от Закона за защитените територии.</w:t>
      </w:r>
    </w:p>
    <w:p w:rsidR="00B644C0" w:rsidRDefault="009341B1">
      <w:pPr>
        <w:ind w:left="33"/>
      </w:pPr>
      <w:r>
        <w:t>ШТ не попада в санитарно-охранителни зони (СОЗ) на водоизточниците за ПБВ, и около водоизточниците на минерални води.</w:t>
      </w:r>
    </w:p>
    <w:p w:rsidR="00B644C0" w:rsidRDefault="009341B1">
      <w:pPr>
        <w:numPr>
          <w:ilvl w:val="0"/>
          <w:numId w:val="4"/>
        </w:numPr>
        <w:spacing w:after="4" w:line="278" w:lineRule="auto"/>
        <w:ind w:hanging="317"/>
      </w:pPr>
      <w:r>
        <w:t>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B644C0" w:rsidRDefault="009341B1">
      <w:pPr>
        <w:ind w:left="33"/>
      </w:pPr>
      <w:r>
        <w:t xml:space="preserve">Питейното водоснабдяване на работещите 5-6 човека ще се осъществява от </w:t>
      </w:r>
      <w:proofErr w:type="spellStart"/>
      <w:r>
        <w:t>диспенсъри</w:t>
      </w:r>
      <w:proofErr w:type="spellEnd"/>
      <w:r>
        <w:t xml:space="preserve"> за вода.</w:t>
      </w:r>
    </w:p>
    <w:p w:rsidR="00B644C0" w:rsidRDefault="009341B1">
      <w:pPr>
        <w:ind w:left="33"/>
      </w:pPr>
      <w:r>
        <w:t xml:space="preserve">Отпадните води ще се </w:t>
      </w:r>
      <w:proofErr w:type="spellStart"/>
      <w:r>
        <w:t>заустват</w:t>
      </w:r>
      <w:proofErr w:type="spellEnd"/>
      <w:r>
        <w:t xml:space="preserve"> във </w:t>
      </w:r>
      <w:proofErr w:type="spellStart"/>
      <w:r>
        <w:t>водоплътна</w:t>
      </w:r>
      <w:proofErr w:type="spellEnd"/>
      <w:r>
        <w:t xml:space="preserve"> яма.</w:t>
      </w:r>
    </w:p>
    <w:p w:rsidR="00B644C0" w:rsidRDefault="009341B1">
      <w:pPr>
        <w:spacing w:after="291"/>
        <w:ind w:left="33"/>
      </w:pPr>
      <w:r>
        <w:t xml:space="preserve">Електрическото захранване на обекта ще се изпълни с подходящо оразмерен кабел, </w:t>
      </w:r>
      <w:proofErr w:type="spellStart"/>
      <w:r>
        <w:t>вы</w:t>
      </w:r>
      <w:proofErr w:type="spellEnd"/>
      <w:r>
        <w:t xml:space="preserve"> основа на договор за присъединяване от EVN.</w:t>
      </w:r>
    </w:p>
    <w:p w:rsidR="00B644C0" w:rsidRDefault="009341B1">
      <w:pPr>
        <w:numPr>
          <w:ilvl w:val="0"/>
          <w:numId w:val="4"/>
        </w:numPr>
        <w:spacing w:after="274"/>
        <w:ind w:hanging="317"/>
      </w:pPr>
      <w:r>
        <w:t>Необходимост от други разрешителни, свързани с инвестиционното предложение.</w:t>
      </w:r>
    </w:p>
    <w:p w:rsidR="00B644C0" w:rsidRDefault="009341B1">
      <w:pPr>
        <w:ind w:left="562"/>
      </w:pPr>
      <w:r>
        <w:t>За реализацията на инвестиционното предложение са необходими:</w:t>
      </w:r>
    </w:p>
    <w:p w:rsidR="00B644C0" w:rsidRDefault="009341B1">
      <w:pPr>
        <w:numPr>
          <w:ilvl w:val="1"/>
          <w:numId w:val="4"/>
        </w:numPr>
        <w:spacing w:after="20" w:line="259" w:lineRule="auto"/>
        <w:ind w:firstLine="542"/>
      </w:pPr>
      <w:r>
        <w:t>Решение по Глава шеста от ЗООС и чл.З1 от ЗБР, от Директора на РИОСВ-Пловдив</w:t>
      </w:r>
    </w:p>
    <w:p w:rsidR="00B644C0" w:rsidRDefault="009341B1">
      <w:pPr>
        <w:numPr>
          <w:ilvl w:val="1"/>
          <w:numId w:val="4"/>
        </w:numPr>
        <w:ind w:firstLine="542"/>
      </w:pPr>
      <w:r>
        <w:lastRenderedPageBreak/>
        <w:t xml:space="preserve">Разрешително за </w:t>
      </w:r>
      <w:proofErr w:type="spellStart"/>
      <w:r>
        <w:t>водовземане</w:t>
      </w:r>
      <w:proofErr w:type="spellEnd"/>
      <w:r>
        <w:t xml:space="preserve"> от подземни води, чрез нови </w:t>
      </w:r>
      <w:proofErr w:type="spellStart"/>
      <w:r>
        <w:t>водовземни</w:t>
      </w:r>
      <w:proofErr w:type="spellEnd"/>
      <w:r>
        <w:t xml:space="preserve"> съоръжения от директора на БД РБР.</w:t>
      </w:r>
    </w:p>
    <w:p w:rsidR="00B644C0" w:rsidRDefault="009341B1">
      <w:pPr>
        <w:spacing w:after="311"/>
        <w:ind w:left="562"/>
      </w:pPr>
      <w:r>
        <w:t>-Разрешение за строеж, от община Родопи.</w:t>
      </w:r>
    </w:p>
    <w:p w:rsidR="00B644C0" w:rsidRDefault="009341B1">
      <w:pPr>
        <w:spacing w:after="3" w:line="254" w:lineRule="auto"/>
        <w:ind w:right="134"/>
      </w:pPr>
      <w:r>
        <w:rPr>
          <w:sz w:val="24"/>
        </w:rPr>
        <w:t xml:space="preserve">Ш. Местоположение на инвестиционното предложение, </w:t>
      </w:r>
      <w:proofErr w:type="spellStart"/>
      <w:r>
        <w:rPr>
          <w:sz w:val="24"/>
        </w:rPr>
        <w:t>коего</w:t>
      </w:r>
      <w:proofErr w:type="spellEnd"/>
      <w:r>
        <w:rPr>
          <w:sz w:val="24"/>
        </w:rPr>
        <w:t xml:space="preserve"> може да окаже отрицателно </w:t>
      </w:r>
      <w:proofErr w:type="spellStart"/>
      <w:r>
        <w:rPr>
          <w:sz w:val="24"/>
        </w:rPr>
        <w:t>выдействие</w:t>
      </w:r>
      <w:proofErr w:type="spellEnd"/>
      <w:r>
        <w:rPr>
          <w:sz w:val="24"/>
        </w:rPr>
        <w:t xml:space="preserve">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B644C0" w:rsidRDefault="009341B1">
      <w:pPr>
        <w:spacing w:after="3" w:line="254" w:lineRule="auto"/>
        <w:ind w:right="134"/>
      </w:pPr>
      <w:r>
        <w:rPr>
          <w:sz w:val="24"/>
        </w:rPr>
        <w:t xml:space="preserve">Ш. Местоположение на инвестиционното предложение, което може да окаже отрицателно </w:t>
      </w:r>
      <w:proofErr w:type="spellStart"/>
      <w:r>
        <w:rPr>
          <w:sz w:val="24"/>
        </w:rPr>
        <w:t>выдействие</w:t>
      </w:r>
      <w:proofErr w:type="spellEnd"/>
      <w:r>
        <w:rPr>
          <w:sz w:val="24"/>
        </w:rPr>
        <w:t xml:space="preserve">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B644C0" w:rsidRDefault="009341B1">
      <w:pPr>
        <w:numPr>
          <w:ilvl w:val="0"/>
          <w:numId w:val="5"/>
        </w:numPr>
        <w:spacing w:after="187"/>
        <w:ind w:hanging="230"/>
      </w:pPr>
      <w:r>
        <w:t xml:space="preserve">съществуващо и одобрено </w:t>
      </w:r>
      <w:proofErr w:type="spellStart"/>
      <w:r>
        <w:t>земеползване</w:t>
      </w:r>
      <w:proofErr w:type="spellEnd"/>
    </w:p>
    <w:p w:rsidR="00B644C0" w:rsidRDefault="009341B1">
      <w:pPr>
        <w:spacing w:after="189"/>
        <w:ind w:left="33" w:right="125"/>
      </w:pPr>
      <w:r>
        <w:t xml:space="preserve">Бъдещата Складова сграда за съхраняване на негорим строителен инвентар и инструменти и тръбният кладенец ще се разполагат в ПИ 47295.22.1100 по КККР на село Марково, община Родопи, област Пловдив. Изграждането на обекта с нищо няма да промени съществуващото състояние на имота, който е с начин на трайно ползване. </w:t>
      </w:r>
      <w:proofErr w:type="spellStart"/>
      <w:r>
        <w:t>Имотьт</w:t>
      </w:r>
      <w:proofErr w:type="spellEnd"/>
      <w:r>
        <w:t xml:space="preserve"> е с промишлено предназначение и не е земеделска земя.</w:t>
      </w:r>
    </w:p>
    <w:p w:rsidR="00B644C0" w:rsidRDefault="009341B1">
      <w:pPr>
        <w:numPr>
          <w:ilvl w:val="0"/>
          <w:numId w:val="5"/>
        </w:numPr>
        <w:spacing w:after="188"/>
        <w:ind w:hanging="230"/>
      </w:pPr>
      <w:r>
        <w:t>мочурища, крайречни области, речни устия — няма такива;</w:t>
      </w:r>
    </w:p>
    <w:p w:rsidR="00B644C0" w:rsidRDefault="009341B1">
      <w:pPr>
        <w:numPr>
          <w:ilvl w:val="0"/>
          <w:numId w:val="5"/>
        </w:numPr>
        <w:spacing w:after="127"/>
        <w:ind w:hanging="230"/>
      </w:pPr>
      <w:r>
        <w:t xml:space="preserve">крайбрежни зони и морска околна среда - няма </w:t>
      </w:r>
      <w:proofErr w:type="spellStart"/>
      <w:r>
        <w:t>таива</w:t>
      </w:r>
      <w:proofErr w:type="spellEnd"/>
      <w:r>
        <w:t>;</w:t>
      </w:r>
    </w:p>
    <w:p w:rsidR="00B644C0" w:rsidRDefault="009341B1">
      <w:pPr>
        <w:numPr>
          <w:ilvl w:val="0"/>
          <w:numId w:val="5"/>
        </w:numPr>
        <w:spacing w:after="189"/>
        <w:ind w:hanging="230"/>
      </w:pPr>
      <w:r>
        <w:t>планински и горски райони- няма такива;</w:t>
      </w:r>
    </w:p>
    <w:p w:rsidR="00B644C0" w:rsidRDefault="009341B1">
      <w:pPr>
        <w:numPr>
          <w:ilvl w:val="0"/>
          <w:numId w:val="5"/>
        </w:numPr>
        <w:spacing w:after="191"/>
        <w:ind w:hanging="230"/>
      </w:pPr>
      <w:r>
        <w:t>защитени със закон територии</w:t>
      </w:r>
    </w:p>
    <w:p w:rsidR="00B644C0" w:rsidRDefault="009341B1">
      <w:pPr>
        <w:ind w:left="33"/>
      </w:pPr>
      <w:r>
        <w:t>Имотът, предмет на ИП, не попада в границите на защитени територии по смисъла на чл.5 от Закона за защитените територии.</w:t>
      </w:r>
    </w:p>
    <w:p w:rsidR="00B644C0" w:rsidRDefault="009341B1">
      <w:pPr>
        <w:spacing w:after="294"/>
        <w:ind w:left="33"/>
      </w:pPr>
      <w:r>
        <w:t xml:space="preserve">Изпълнението на тръбния </w:t>
      </w:r>
      <w:proofErr w:type="spellStart"/>
      <w:r>
        <w:t>ютаденец</w:t>
      </w:r>
      <w:proofErr w:type="spellEnd"/>
      <w:r>
        <w:t xml:space="preserve">, с дълбочина до 20,0 т, няма вероятност да окажат отрицателю </w:t>
      </w:r>
      <w:proofErr w:type="spellStart"/>
      <w:r>
        <w:t>выдействие</w:t>
      </w:r>
      <w:proofErr w:type="spellEnd"/>
      <w:r>
        <w:t xml:space="preserve"> върху природните местообитания и дивата флора и фауна;</w:t>
      </w:r>
    </w:p>
    <w:p w:rsidR="00B644C0" w:rsidRDefault="009341B1">
      <w:pPr>
        <w:numPr>
          <w:ilvl w:val="0"/>
          <w:numId w:val="5"/>
        </w:numPr>
        <w:ind w:hanging="230"/>
      </w:pPr>
      <w:r>
        <w:t>засегнати елементи от Националната екологична мрежа</w:t>
      </w:r>
    </w:p>
    <w:p w:rsidR="00B644C0" w:rsidRDefault="009341B1">
      <w:pPr>
        <w:spacing w:after="108"/>
        <w:ind w:left="96"/>
      </w:pPr>
      <w:r>
        <w:t>Имотът, предмет на ШТ, не попада в границите на защитени територии по смисъла на чл.5 от Закона за защитените територии.</w:t>
      </w:r>
    </w:p>
    <w:p w:rsidR="00B644C0" w:rsidRDefault="009341B1">
      <w:pPr>
        <w:spacing w:after="0" w:line="259" w:lineRule="auto"/>
        <w:ind w:left="0" w:right="62"/>
        <w:jc w:val="right"/>
      </w:pPr>
      <w:r>
        <w:t>5</w:t>
      </w:r>
    </w:p>
    <w:p w:rsidR="00B644C0" w:rsidRDefault="009341B1">
      <w:pPr>
        <w:numPr>
          <w:ilvl w:val="0"/>
          <w:numId w:val="5"/>
        </w:numPr>
        <w:spacing w:after="177"/>
        <w:ind w:hanging="230"/>
      </w:pPr>
      <w:r>
        <w:t>ландшафт и обекти с историческа, културна или археологическа стойност</w:t>
      </w:r>
    </w:p>
    <w:p w:rsidR="00B644C0" w:rsidRDefault="009341B1">
      <w:pPr>
        <w:spacing w:after="204"/>
        <w:ind w:left="33"/>
      </w:pPr>
      <w:proofErr w:type="spellStart"/>
      <w:r>
        <w:t>Ландшафтьт</w:t>
      </w:r>
      <w:proofErr w:type="spellEnd"/>
      <w:r>
        <w:t xml:space="preserve"> не се променя и запазва характера си. Няма обекти с историческа, културна или археологическа стойност.</w:t>
      </w:r>
    </w:p>
    <w:p w:rsidR="00B644C0" w:rsidRDefault="009341B1">
      <w:pPr>
        <w:numPr>
          <w:ilvl w:val="0"/>
          <w:numId w:val="5"/>
        </w:numPr>
        <w:spacing w:after="212"/>
        <w:ind w:hanging="230"/>
      </w:pPr>
      <w:r>
        <w:t>територии и/или зони и обекти със специфичен санитарен статут или подлежащи на здравна защита — няма такива.</w:t>
      </w:r>
    </w:p>
    <w:p w:rsidR="00B644C0" w:rsidRDefault="009341B1">
      <w:pPr>
        <w:spacing w:after="192" w:line="254" w:lineRule="auto"/>
        <w:ind w:right="134"/>
      </w:pPr>
      <w:r>
        <w:rPr>
          <w:sz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B644C0" w:rsidRDefault="009341B1">
      <w:pPr>
        <w:ind w:left="33" w:right="168"/>
      </w:pPr>
      <w:r>
        <w:t>Реализирането на инвестиционното предложение няма да окаже отрицателно въздействие върху здравето на населението в района. По време на изпълнението на кладенеца, здравният риск на работещите се формира от наличните вредни фактори на работната среда [шум, вибрации, прах/.</w:t>
      </w:r>
    </w:p>
    <w:p w:rsidR="00B644C0" w:rsidRDefault="009341B1">
      <w:pPr>
        <w:ind w:left="33"/>
      </w:pPr>
      <w:r>
        <w:lastRenderedPageBreak/>
        <w:t>При експлоатацията на кладенеца не се очаква промяна в качеството на атмосферния въздух,</w:t>
      </w:r>
    </w:p>
    <w:p w:rsidR="00B644C0" w:rsidRDefault="009341B1">
      <w:pPr>
        <w:ind w:left="33"/>
      </w:pPr>
      <w:r>
        <w:t>т.е. няма да се отделят вредности от работата му.</w:t>
      </w:r>
    </w:p>
    <w:p w:rsidR="00B644C0" w:rsidRDefault="009341B1">
      <w:pPr>
        <w:spacing w:after="4" w:line="278" w:lineRule="auto"/>
        <w:ind w:left="14" w:hanging="10"/>
        <w:jc w:val="left"/>
      </w:pPr>
      <w:r>
        <w:t>Инвестиционното предложение не крие рискове от замърсяване на почвите или водите вследствие на изпускане на замърсители върху земната повърхност при изпълнение на кладенеца.</w:t>
      </w:r>
    </w:p>
    <w:p w:rsidR="00B644C0" w:rsidRDefault="009341B1">
      <w:pPr>
        <w:ind w:left="33"/>
      </w:pPr>
      <w:proofErr w:type="spellStart"/>
      <w:r>
        <w:t>Характеры</w:t>
      </w:r>
      <w:proofErr w:type="spellEnd"/>
      <w:r>
        <w:t xml:space="preserve"> на инвестиционното предложение не е свързан с промяна на вида, състава и характера на земните недра и ландшафта.</w:t>
      </w:r>
    </w:p>
    <w:p w:rsidR="00B644C0" w:rsidRDefault="009341B1">
      <w:pPr>
        <w:ind w:left="33"/>
      </w:pPr>
      <w:r>
        <w:t>Очакваното въздействие: краткотрайно по време на строителството, непряко по време на експлоатацията.</w:t>
      </w:r>
    </w:p>
    <w:p w:rsidR="00B644C0" w:rsidRDefault="009341B1">
      <w:pPr>
        <w:ind w:left="33"/>
      </w:pPr>
      <w:r>
        <w:t>Не се очакват негативни въздействия върху компонентите на околната среда.</w:t>
      </w:r>
    </w:p>
    <w:p w:rsidR="00B644C0" w:rsidRDefault="009341B1">
      <w:pPr>
        <w:spacing w:after="296"/>
        <w:ind w:left="33" w:right="110"/>
      </w:pPr>
      <w:r>
        <w:t xml:space="preserve">Предвиденото инвестиционно предложение не предполага замърсяване на почвите, водите и атмосферния въздух в района, както по време на изпълнението на кладенеца, така и по време на </w:t>
      </w:r>
      <w:proofErr w:type="spellStart"/>
      <w:r>
        <w:t>експлоатащята</w:t>
      </w:r>
      <w:proofErr w:type="spellEnd"/>
      <w:r>
        <w:t xml:space="preserve"> му. Не се предвижда използване на горивни процеси по време на сондажните работи. Прогнозната оценка за очакваното емисионно натоварване на атмосферния въздух в района на проектния кладенец при изпълнението му ще бъде незначително, локално, временно и ще засегне предимно работната площадка. Не се предвижда отделяне на емисии на замърсители или опасни, токсични или вредни вещества в атмосферния въздух в района. От реализирането на инвестиционното намерение [строителство, експлоатация/ не се очакват вредни физични фактори — вибрации, светлинни, топлинни, електромагнитни и йонизиращи лъчения, с изключение на шум, който ще бъде под 50dB ( наредба 6/26.062006 на МЗ и МОСВ).</w:t>
      </w:r>
    </w:p>
    <w:p w:rsidR="00B644C0" w:rsidRDefault="009341B1">
      <w:pPr>
        <w:numPr>
          <w:ilvl w:val="0"/>
          <w:numId w:val="6"/>
        </w:numPr>
        <w:spacing w:after="203"/>
        <w:ind w:hanging="322"/>
      </w:pPr>
      <w:r>
        <w:t>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B644C0" w:rsidRDefault="009341B1">
      <w:pPr>
        <w:spacing w:after="181"/>
        <w:ind w:left="33"/>
      </w:pPr>
      <w:r>
        <w:t xml:space="preserve">Очакваното въздействие може да се оцени като с </w:t>
      </w:r>
      <w:proofErr w:type="spellStart"/>
      <w:r>
        <w:t>мальк</w:t>
      </w:r>
      <w:proofErr w:type="spellEnd"/>
      <w:r>
        <w:t xml:space="preserve"> териториален обхват на територията на имота по време на изпълнение на сондажните работи.</w:t>
      </w:r>
    </w:p>
    <w:p w:rsidR="00B644C0" w:rsidRDefault="009341B1">
      <w:pPr>
        <w:numPr>
          <w:ilvl w:val="0"/>
          <w:numId w:val="6"/>
        </w:numPr>
        <w:spacing w:after="185"/>
        <w:ind w:hanging="322"/>
      </w:pPr>
      <w:proofErr w:type="spellStart"/>
      <w:r>
        <w:t>Выдействие</w:t>
      </w:r>
      <w:proofErr w:type="spellEnd"/>
      <w:r>
        <w:t xml:space="preserve"> върху елементи от Националната екологична мрежа, включително на разположените в близост до инвестиционното предложение</w:t>
      </w:r>
    </w:p>
    <w:p w:rsidR="00B644C0" w:rsidRDefault="009341B1">
      <w:pPr>
        <w:spacing w:after="180"/>
        <w:ind w:left="33"/>
      </w:pPr>
      <w:proofErr w:type="spellStart"/>
      <w:r>
        <w:t>Тереньт</w:t>
      </w:r>
      <w:proofErr w:type="spellEnd"/>
      <w:r>
        <w:t>, в който ще се реализира инвестиционното предложение, не попада в границите на защитени територии, по смисъла на Закона за защитените територии (ВТ), както и в границите на защитени зони от Европейската екологична мрежа „Натура 2000”. Най-близко разположената защитена зона от Европейската екологична мрежа „НАТУРА 2000” до територията, на която ще се реализира инвестиционното предложение, е защитена зона BG 0001033 „Брестовица”.</w:t>
      </w:r>
    </w:p>
    <w:p w:rsidR="00B644C0" w:rsidRDefault="009341B1">
      <w:pPr>
        <w:ind w:left="33"/>
      </w:pPr>
      <w:r>
        <w:t>Не се очаква негативно въздействие от реализирането на инвестиционното предложение, върху предмета и целите на опазване на най-близката защитена зона.</w:t>
      </w:r>
    </w:p>
    <w:p w:rsidR="00B644C0" w:rsidRDefault="009341B1">
      <w:pPr>
        <w:numPr>
          <w:ilvl w:val="0"/>
          <w:numId w:val="6"/>
        </w:numPr>
        <w:spacing w:after="191"/>
        <w:ind w:hanging="322"/>
      </w:pPr>
      <w:r>
        <w:t>Очакваните последици, произтичащи от уязвимостта на инвестиционното предложение от риск от големи аварии и/или бедствия - не се очакват.</w:t>
      </w:r>
    </w:p>
    <w:p w:rsidR="00B644C0" w:rsidRDefault="009341B1">
      <w:pPr>
        <w:numPr>
          <w:ilvl w:val="0"/>
          <w:numId w:val="6"/>
        </w:numPr>
        <w:ind w:hanging="322"/>
      </w:pPr>
      <w:r>
        <w:t xml:space="preserve">Вид и естество на </w:t>
      </w:r>
      <w:proofErr w:type="spellStart"/>
      <w:r>
        <w:t>выдействието</w:t>
      </w:r>
      <w:proofErr w:type="spellEnd"/>
      <w:r>
        <w:t xml:space="preserve">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B644C0" w:rsidRDefault="009341B1">
      <w:pPr>
        <w:ind w:left="33"/>
      </w:pPr>
      <w:r>
        <w:t xml:space="preserve">ИП ще се реализира, след издаване на разрешително за </w:t>
      </w:r>
      <w:proofErr w:type="spellStart"/>
      <w:r>
        <w:t>водовземане</w:t>
      </w:r>
      <w:proofErr w:type="spellEnd"/>
      <w:r>
        <w:t xml:space="preserve"> от подземни води, чрез нови </w:t>
      </w:r>
      <w:proofErr w:type="spellStart"/>
      <w:r>
        <w:t>водовземни</w:t>
      </w:r>
      <w:proofErr w:type="spellEnd"/>
      <w:r>
        <w:t xml:space="preserve"> съоръжения, съгласно Закона за водите.</w:t>
      </w:r>
    </w:p>
    <w:p w:rsidR="00B644C0" w:rsidRDefault="009341B1">
      <w:pPr>
        <w:ind w:left="33"/>
      </w:pPr>
      <w:r>
        <w:t>Очакваното въздействие ще бъде:</w:t>
      </w:r>
    </w:p>
    <w:p w:rsidR="00B644C0" w:rsidRDefault="009341B1">
      <w:pPr>
        <w:ind w:left="33"/>
      </w:pPr>
      <w:r>
        <w:t>Краткотрайно по време на изпълнението на тръбния кладенец и опитно-филтрационните работи — до 10 /десет/ дни;</w:t>
      </w:r>
    </w:p>
    <w:p w:rsidR="00B644C0" w:rsidRDefault="009341B1">
      <w:pPr>
        <w:ind w:left="33"/>
      </w:pPr>
      <w:r>
        <w:t>Непряко по време на експлоатацията.</w:t>
      </w:r>
    </w:p>
    <w:p w:rsidR="00B644C0" w:rsidRDefault="009341B1">
      <w:pPr>
        <w:ind w:left="33"/>
      </w:pPr>
      <w:r>
        <w:t xml:space="preserve">Не се очакват негативни </w:t>
      </w:r>
      <w:proofErr w:type="spellStart"/>
      <w:r>
        <w:t>выдействия</w:t>
      </w:r>
      <w:proofErr w:type="spellEnd"/>
      <w:r>
        <w:t xml:space="preserve"> върху компонентите на околната среда.</w:t>
      </w:r>
    </w:p>
    <w:p w:rsidR="00B644C0" w:rsidRDefault="009341B1">
      <w:pPr>
        <w:numPr>
          <w:ilvl w:val="0"/>
          <w:numId w:val="6"/>
        </w:numPr>
        <w:spacing w:after="203"/>
        <w:ind w:hanging="322"/>
      </w:pPr>
      <w:r>
        <w:lastRenderedPageBreak/>
        <w:t xml:space="preserve">Степен и пространствен обхват на </w:t>
      </w:r>
      <w:proofErr w:type="spellStart"/>
      <w:r>
        <w:t>выдействието</w:t>
      </w:r>
      <w:proofErr w:type="spellEnd"/>
      <w:r>
        <w:t xml:space="preserve">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B644C0" w:rsidRDefault="009341B1">
      <w:pPr>
        <w:spacing w:after="30"/>
        <w:ind w:left="33"/>
      </w:pPr>
      <w:r>
        <w:t>Въздействието е локално върху подземното водно тяло. Няма засегнато население, растителни и животински видове.</w:t>
      </w:r>
    </w:p>
    <w:p w:rsidR="00B644C0" w:rsidRDefault="009341B1">
      <w:pPr>
        <w:numPr>
          <w:ilvl w:val="0"/>
          <w:numId w:val="6"/>
        </w:numPr>
        <w:spacing w:after="196"/>
        <w:ind w:hanging="322"/>
      </w:pPr>
      <w:r>
        <w:t xml:space="preserve">Вероятност, интензивност, </w:t>
      </w:r>
      <w:proofErr w:type="spellStart"/>
      <w:r>
        <w:t>комплексност</w:t>
      </w:r>
      <w:proofErr w:type="spellEnd"/>
      <w:r>
        <w:t xml:space="preserve"> на въздействието— ниска.</w:t>
      </w:r>
    </w:p>
    <w:p w:rsidR="00B644C0" w:rsidRDefault="009341B1">
      <w:pPr>
        <w:numPr>
          <w:ilvl w:val="0"/>
          <w:numId w:val="6"/>
        </w:numPr>
        <w:spacing w:after="198"/>
        <w:ind w:hanging="322"/>
      </w:pPr>
      <w:r>
        <w:t>Очакваното настъпване, продължителността, честотата и обратимостта на въздействието — след започване на експлоатацията, дълготрайна, периодична.</w:t>
      </w:r>
    </w:p>
    <w:p w:rsidR="00B644C0" w:rsidRDefault="009341B1">
      <w:pPr>
        <w:numPr>
          <w:ilvl w:val="0"/>
          <w:numId w:val="6"/>
        </w:numPr>
        <w:spacing w:after="196"/>
        <w:ind w:hanging="322"/>
      </w:pPr>
      <w:r>
        <w:t xml:space="preserve">Комбинирането с въздействия на други съществуващи и/или одобрени </w:t>
      </w:r>
      <w:proofErr w:type="spellStart"/>
      <w:r>
        <w:t>ИНВеСТИЦИОННИ</w:t>
      </w:r>
      <w:proofErr w:type="spellEnd"/>
      <w:r>
        <w:t xml:space="preserve"> предложения — няма.</w:t>
      </w:r>
    </w:p>
    <w:p w:rsidR="00B644C0" w:rsidRDefault="009341B1">
      <w:pPr>
        <w:numPr>
          <w:ilvl w:val="0"/>
          <w:numId w:val="6"/>
        </w:numPr>
        <w:spacing w:after="36"/>
        <w:ind w:hanging="322"/>
      </w:pPr>
      <w:proofErr w:type="spellStart"/>
      <w:r>
        <w:t>Възможностга</w:t>
      </w:r>
      <w:proofErr w:type="spellEnd"/>
      <w:r>
        <w:t xml:space="preserve"> за ефективно намаляване на въздействията реална, при спазване на технологичните регламенти.</w:t>
      </w:r>
    </w:p>
    <w:p w:rsidR="00B644C0" w:rsidRDefault="009341B1">
      <w:pPr>
        <w:numPr>
          <w:ilvl w:val="0"/>
          <w:numId w:val="6"/>
        </w:numPr>
        <w:spacing w:after="214"/>
        <w:ind w:hanging="322"/>
      </w:pPr>
      <w:r>
        <w:t>Трансграничен характер на въздействието.</w:t>
      </w:r>
    </w:p>
    <w:p w:rsidR="00B644C0" w:rsidRDefault="009341B1">
      <w:pPr>
        <w:spacing w:after="197"/>
        <w:ind w:left="33"/>
      </w:pPr>
      <w:r>
        <w:t xml:space="preserve">Предвид географското разположение на имота, в който ще се реализира ШТ не се предполага трансграничен характер на </w:t>
      </w:r>
      <w:proofErr w:type="spellStart"/>
      <w:r>
        <w:t>выдействията</w:t>
      </w:r>
      <w:proofErr w:type="spellEnd"/>
      <w:r>
        <w:t>.</w:t>
      </w:r>
    </w:p>
    <w:p w:rsidR="00B644C0" w:rsidRDefault="009341B1">
      <w:pPr>
        <w:numPr>
          <w:ilvl w:val="0"/>
          <w:numId w:val="6"/>
        </w:numPr>
        <w:spacing w:after="215"/>
        <w:ind w:hanging="322"/>
      </w:pPr>
      <w:r>
        <w:t xml:space="preserve"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</w:t>
      </w:r>
      <w:proofErr w:type="spellStart"/>
      <w:r>
        <w:t>отрицатешш</w:t>
      </w:r>
      <w:proofErr w:type="spellEnd"/>
      <w:r>
        <w:t xml:space="preserve"> въздействия върху околната среда и човешкото здраве.</w:t>
      </w:r>
    </w:p>
    <w:p w:rsidR="00B644C0" w:rsidRDefault="009341B1">
      <w:pPr>
        <w:spacing w:after="187"/>
        <w:ind w:left="33"/>
      </w:pPr>
      <w:r>
        <w:t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 Поради това не се налагат допълнителни мерки, освен описаните.</w:t>
      </w:r>
    </w:p>
    <w:p w:rsidR="00B644C0" w:rsidRDefault="009341B1">
      <w:pPr>
        <w:spacing w:after="222" w:line="254" w:lineRule="auto"/>
        <w:ind w:right="2842"/>
      </w:pPr>
      <w:r>
        <w:rPr>
          <w:sz w:val="24"/>
        </w:rPr>
        <w:t>V. Обществен интерес към инвестиционното предложение. Не е проявен.</w:t>
      </w:r>
    </w:p>
    <w:p w:rsidR="00B644C0" w:rsidRDefault="009341B1">
      <w:pPr>
        <w:spacing w:after="122" w:line="259" w:lineRule="auto"/>
        <w:ind w:left="10" w:right="62" w:hanging="10"/>
        <w:jc w:val="right"/>
      </w:pPr>
      <w:r>
        <w:rPr>
          <w:sz w:val="20"/>
        </w:rPr>
        <w:t>7</w:t>
      </w:r>
    </w:p>
    <w:p w:rsidR="00B644C0" w:rsidRDefault="00B644C0">
      <w:pPr>
        <w:sectPr w:rsidR="00B644C0">
          <w:footerReference w:type="even" r:id="rId19"/>
          <w:footerReference w:type="default" r:id="rId20"/>
          <w:footerReference w:type="first" r:id="rId21"/>
          <w:pgSz w:w="11900" w:h="16820"/>
          <w:pgMar w:top="682" w:right="1037" w:bottom="1738" w:left="1642" w:header="708" w:footer="708" w:gutter="0"/>
          <w:pgNumType w:start="1"/>
          <w:cols w:space="708"/>
        </w:sectPr>
      </w:pPr>
    </w:p>
    <w:tbl>
      <w:tblPr>
        <w:tblStyle w:val="TableGrid"/>
        <w:tblpPr w:vertAnchor="text" w:horzAnchor="margin" w:tblpXSpec="right" w:tblpY="1026"/>
        <w:tblOverlap w:val="never"/>
        <w:tblW w:w="9544" w:type="dxa"/>
        <w:tblInd w:w="0" w:type="dxa"/>
        <w:tblCellMar>
          <w:left w:w="15" w:type="dxa"/>
        </w:tblCellMar>
        <w:tblLook w:val="04A0" w:firstRow="1" w:lastRow="0" w:firstColumn="1" w:lastColumn="0" w:noHBand="0" w:noVBand="1"/>
      </w:tblPr>
      <w:tblGrid>
        <w:gridCol w:w="4207"/>
        <w:gridCol w:w="1976"/>
        <w:gridCol w:w="387"/>
        <w:gridCol w:w="2974"/>
      </w:tblGrid>
      <w:tr w:rsidR="00B644C0" w:rsidTr="00C97F6B">
        <w:trPr>
          <w:trHeight w:val="461"/>
        </w:trPr>
        <w:tc>
          <w:tcPr>
            <w:tcW w:w="4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4C0" w:rsidRDefault="00B644C0" w:rsidP="00C97F6B">
            <w:pPr>
              <w:spacing w:after="0" w:line="259" w:lineRule="auto"/>
              <w:ind w:left="46" w:firstLine="5"/>
            </w:pPr>
          </w:p>
        </w:tc>
        <w:tc>
          <w:tcPr>
            <w:tcW w:w="53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4C0" w:rsidRDefault="00B644C0" w:rsidP="00C97F6B">
            <w:pPr>
              <w:spacing w:after="0" w:line="259" w:lineRule="auto"/>
              <w:ind w:left="3307" w:firstLine="154"/>
            </w:pPr>
          </w:p>
        </w:tc>
      </w:tr>
      <w:tr w:rsidR="00B644C0" w:rsidTr="00C97F6B">
        <w:trPr>
          <w:trHeight w:val="144"/>
        </w:trPr>
        <w:tc>
          <w:tcPr>
            <w:tcW w:w="618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644C0" w:rsidRDefault="00B644C0" w:rsidP="00C97F6B">
            <w:pPr>
              <w:spacing w:after="0" w:line="259" w:lineRule="auto"/>
              <w:ind w:left="5000" w:right="-86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644C0" w:rsidRDefault="00B644C0" w:rsidP="00C97F6B">
            <w:pPr>
              <w:spacing w:after="160" w:line="259" w:lineRule="auto"/>
              <w:ind w:left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644C0" w:rsidRDefault="00B644C0" w:rsidP="00C97F6B">
            <w:pPr>
              <w:spacing w:after="0" w:line="259" w:lineRule="auto"/>
              <w:ind w:left="436"/>
              <w:jc w:val="left"/>
            </w:pPr>
          </w:p>
        </w:tc>
      </w:tr>
    </w:tbl>
    <w:p w:rsidR="00B644C0" w:rsidRDefault="009341B1">
      <w:pPr>
        <w:spacing w:after="0" w:line="259" w:lineRule="auto"/>
        <w:ind w:left="-653" w:right="168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4877128</wp:posOffset>
            </wp:positionH>
            <wp:positionV relativeFrom="page">
              <wp:posOffset>10296634</wp:posOffset>
            </wp:positionV>
            <wp:extent cx="694991" cy="158504"/>
            <wp:effectExtent l="0" t="0" r="0" b="0"/>
            <wp:wrapTopAndBottom/>
            <wp:docPr id="40035" name="Picture 4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5" name="Picture 400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4991" cy="158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6712147</wp:posOffset>
            </wp:positionH>
            <wp:positionV relativeFrom="paragraph">
              <wp:posOffset>8287906</wp:posOffset>
            </wp:positionV>
            <wp:extent cx="54868" cy="12193"/>
            <wp:effectExtent l="0" t="0" r="0" b="0"/>
            <wp:wrapSquare wrapText="bothSides"/>
            <wp:docPr id="74158" name="Picture 74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58" name="Picture 741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6614605</wp:posOffset>
            </wp:positionH>
            <wp:positionV relativeFrom="paragraph">
              <wp:posOffset>8665876</wp:posOffset>
            </wp:positionV>
            <wp:extent cx="6096" cy="12193"/>
            <wp:effectExtent l="0" t="0" r="0" b="0"/>
            <wp:wrapSquare wrapText="bothSides"/>
            <wp:docPr id="39938" name="Picture 39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399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6462195</wp:posOffset>
            </wp:positionH>
            <wp:positionV relativeFrom="paragraph">
              <wp:posOffset>8818283</wp:posOffset>
            </wp:positionV>
            <wp:extent cx="6097" cy="6096"/>
            <wp:effectExtent l="0" t="0" r="0" b="0"/>
            <wp:wrapSquare wrapText="bothSides"/>
            <wp:docPr id="39939" name="Picture 39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99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6602412</wp:posOffset>
            </wp:positionH>
            <wp:positionV relativeFrom="paragraph">
              <wp:posOffset>9037750</wp:posOffset>
            </wp:positionV>
            <wp:extent cx="115832" cy="60963"/>
            <wp:effectExtent l="0" t="0" r="0" b="0"/>
            <wp:wrapSquare wrapText="bothSides"/>
            <wp:docPr id="74160" name="Picture 7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60" name="Picture 741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6687762</wp:posOffset>
            </wp:positionH>
            <wp:positionV relativeFrom="paragraph">
              <wp:posOffset>9165772</wp:posOffset>
            </wp:positionV>
            <wp:extent cx="48771" cy="48771"/>
            <wp:effectExtent l="0" t="0" r="0" b="0"/>
            <wp:wrapSquare wrapText="bothSides"/>
            <wp:docPr id="74162" name="Picture 74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62" name="Picture 7416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48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6404279</wp:posOffset>
            </wp:positionH>
            <wp:positionV relativeFrom="paragraph">
              <wp:posOffset>9491923</wp:posOffset>
            </wp:positionV>
            <wp:extent cx="490762" cy="570003"/>
            <wp:effectExtent l="0" t="0" r="0" b="0"/>
            <wp:wrapSquare wrapText="bothSides"/>
            <wp:docPr id="74164" name="Picture 74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64" name="Picture 741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0762" cy="57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sectPr w:rsidR="00B644C0">
      <w:footerReference w:type="even" r:id="rId29"/>
      <w:footerReference w:type="default" r:id="rId30"/>
      <w:footerReference w:type="first" r:id="rId31"/>
      <w:pgSz w:w="11900" w:h="16820"/>
      <w:pgMar w:top="931" w:right="221" w:bottom="576" w:left="6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31" w:rsidRDefault="00F30F31">
      <w:pPr>
        <w:spacing w:after="0" w:line="240" w:lineRule="auto"/>
      </w:pPr>
      <w:r>
        <w:separator/>
      </w:r>
    </w:p>
  </w:endnote>
  <w:endnote w:type="continuationSeparator" w:id="0">
    <w:p w:rsidR="00F30F31" w:rsidRDefault="00F3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9341B1">
    <w:pPr>
      <w:spacing w:after="0" w:line="259" w:lineRule="auto"/>
      <w:ind w:left="0" w:right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2123" w:rsidRPr="00122123">
      <w:rPr>
        <w:noProof/>
        <w:sz w:val="20"/>
      </w:rPr>
      <w:t>2</w:t>
    </w:r>
    <w:r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C0" w:rsidRDefault="00B644C0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31" w:rsidRDefault="00F30F31">
      <w:pPr>
        <w:spacing w:after="0" w:line="240" w:lineRule="auto"/>
      </w:pPr>
      <w:r>
        <w:separator/>
      </w:r>
    </w:p>
  </w:footnote>
  <w:footnote w:type="continuationSeparator" w:id="0">
    <w:p w:rsidR="00F30F31" w:rsidRDefault="00F3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95"/>
    <w:multiLevelType w:val="hybridMultilevel"/>
    <w:tmpl w:val="7D629904"/>
    <w:lvl w:ilvl="0" w:tplc="BD40F8C4">
      <w:start w:val="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783E">
      <w:start w:val="1"/>
      <w:numFmt w:val="bullet"/>
      <w:lvlText w:val="-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0E42A">
      <w:start w:val="1"/>
      <w:numFmt w:val="bullet"/>
      <w:lvlText w:val="▪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C52F2">
      <w:start w:val="1"/>
      <w:numFmt w:val="bullet"/>
      <w:lvlText w:val="•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46B8C">
      <w:start w:val="1"/>
      <w:numFmt w:val="bullet"/>
      <w:lvlText w:val="o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EC1AA">
      <w:start w:val="1"/>
      <w:numFmt w:val="bullet"/>
      <w:lvlText w:val="▪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68EB4">
      <w:start w:val="1"/>
      <w:numFmt w:val="bullet"/>
      <w:lvlText w:val="•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B83180">
      <w:start w:val="1"/>
      <w:numFmt w:val="bullet"/>
      <w:lvlText w:val="o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667EC">
      <w:start w:val="1"/>
      <w:numFmt w:val="bullet"/>
      <w:lvlText w:val="▪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A372D"/>
    <w:multiLevelType w:val="hybridMultilevel"/>
    <w:tmpl w:val="E2B258B6"/>
    <w:lvl w:ilvl="0" w:tplc="9FCE1C8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4BD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CCAC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27BD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E5D4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6E79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6BD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6E84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0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13563"/>
    <w:multiLevelType w:val="hybridMultilevel"/>
    <w:tmpl w:val="85ACA97C"/>
    <w:lvl w:ilvl="0" w:tplc="7F86A30C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9E4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4498A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070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A857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019D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4123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630AC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A0D64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400E8B"/>
    <w:multiLevelType w:val="hybridMultilevel"/>
    <w:tmpl w:val="4E1A9644"/>
    <w:lvl w:ilvl="0" w:tplc="3EF215A8">
      <w:start w:val="4"/>
      <w:numFmt w:val="upperRoman"/>
      <w:lvlText w:val="%1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8E5AB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AC848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725CD8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7CC4A0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631AA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D48CF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8442E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0913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12A14"/>
    <w:multiLevelType w:val="hybridMultilevel"/>
    <w:tmpl w:val="FA9E27D4"/>
    <w:lvl w:ilvl="0" w:tplc="4588F0B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673E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C554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8DB6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C2CB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E810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6092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22D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2F6C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706B9"/>
    <w:multiLevelType w:val="hybridMultilevel"/>
    <w:tmpl w:val="3216CEF4"/>
    <w:lvl w:ilvl="0" w:tplc="175454CE">
      <w:start w:val="8"/>
      <w:numFmt w:val="decimal"/>
      <w:lvlText w:val="%1.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E838C">
      <w:start w:val="1"/>
      <w:numFmt w:val="lowerLetter"/>
      <w:lvlText w:val="%2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63B42">
      <w:start w:val="1"/>
      <w:numFmt w:val="lowerRoman"/>
      <w:lvlText w:val="%3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24A02">
      <w:start w:val="1"/>
      <w:numFmt w:val="decimal"/>
      <w:lvlText w:val="%4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02EBE">
      <w:start w:val="1"/>
      <w:numFmt w:val="lowerLetter"/>
      <w:lvlText w:val="%5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BF32">
      <w:start w:val="1"/>
      <w:numFmt w:val="lowerRoman"/>
      <w:lvlText w:val="%6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8C5A0">
      <w:start w:val="1"/>
      <w:numFmt w:val="decimal"/>
      <w:lvlText w:val="%7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08C3C">
      <w:start w:val="1"/>
      <w:numFmt w:val="lowerLetter"/>
      <w:lvlText w:val="%8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E7D1E">
      <w:start w:val="1"/>
      <w:numFmt w:val="lowerRoman"/>
      <w:lvlText w:val="%9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367FF5"/>
    <w:multiLevelType w:val="hybridMultilevel"/>
    <w:tmpl w:val="572C8468"/>
    <w:lvl w:ilvl="0" w:tplc="F7D2B9DA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62BE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163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CE94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05D4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42F6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822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A1A5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CE06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2C6A20"/>
    <w:multiLevelType w:val="hybridMultilevel"/>
    <w:tmpl w:val="31E6A6E0"/>
    <w:lvl w:ilvl="0" w:tplc="89ECB79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A44C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AAA1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071D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E31E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0BDA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AF0A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32BFD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274D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C0"/>
    <w:rsid w:val="00122123"/>
    <w:rsid w:val="003B017B"/>
    <w:rsid w:val="00604947"/>
    <w:rsid w:val="009341B1"/>
    <w:rsid w:val="00B644C0"/>
    <w:rsid w:val="00C97F6B"/>
    <w:rsid w:val="00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2E72-B843-4892-94A4-9BAACE2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9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68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jpg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5.jpg"/><Relationship Id="rId25" Type="http://schemas.openxmlformats.org/officeDocument/2006/relationships/image" Target="media/image1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9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8.jpg"/><Relationship Id="rId28" Type="http://schemas.openxmlformats.org/officeDocument/2006/relationships/image" Target="media/image13.jpg"/><Relationship Id="rId10" Type="http://schemas.openxmlformats.org/officeDocument/2006/relationships/image" Target="media/image4.jpg"/><Relationship Id="rId19" Type="http://schemas.openxmlformats.org/officeDocument/2006/relationships/footer" Target="foot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Relationship Id="rId22" Type="http://schemas.openxmlformats.org/officeDocument/2006/relationships/image" Target="media/image7.jpg"/><Relationship Id="rId27" Type="http://schemas.openxmlformats.org/officeDocument/2006/relationships/image" Target="media/image12.jpg"/><Relationship Id="rId30" Type="http://schemas.openxmlformats.org/officeDocument/2006/relationships/footer" Target="footer1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4</cp:revision>
  <dcterms:created xsi:type="dcterms:W3CDTF">2020-08-04T07:59:00Z</dcterms:created>
  <dcterms:modified xsi:type="dcterms:W3CDTF">2020-08-04T08:01:00Z</dcterms:modified>
</cp:coreProperties>
</file>