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3D" w:rsidRPr="004E0866" w:rsidRDefault="00A15DCD" w:rsidP="004E0866">
      <w:pPr>
        <w:jc w:val="both"/>
        <w:rPr>
          <w:b/>
          <w:lang w:val="bg-BG"/>
        </w:rPr>
      </w:pPr>
      <w:bookmarkStart w:id="0" w:name="_GoBack"/>
      <w:bookmarkEnd w:id="0"/>
      <w:r w:rsidRPr="004E0866">
        <w:rPr>
          <w:b/>
          <w:lang w:val="bg-BG"/>
        </w:rPr>
        <w:t xml:space="preserve">Указания към </w:t>
      </w:r>
      <w:r w:rsidR="000B2B2A" w:rsidRPr="004E0866">
        <w:rPr>
          <w:b/>
          <w:lang w:val="bg-BG"/>
        </w:rPr>
        <w:t xml:space="preserve">вносители на </w:t>
      </w:r>
      <w:r w:rsidR="003B1B26" w:rsidRPr="004E0866">
        <w:rPr>
          <w:b/>
          <w:lang w:val="bg-BG"/>
        </w:rPr>
        <w:t xml:space="preserve">хладилно, климатично и термопомпено </w:t>
      </w:r>
      <w:r w:rsidR="000B2B2A" w:rsidRPr="004E0866">
        <w:rPr>
          <w:b/>
          <w:lang w:val="bg-BG"/>
        </w:rPr>
        <w:t xml:space="preserve">оборудване, предварително заредено с флуоровъглеводороди </w:t>
      </w:r>
      <w:r w:rsidR="000B2B2A" w:rsidRPr="004E0866">
        <w:rPr>
          <w:b/>
        </w:rPr>
        <w:t>(HFC)</w:t>
      </w:r>
      <w:r w:rsidR="00F53019">
        <w:rPr>
          <w:b/>
          <w:lang w:val="bg-BG"/>
        </w:rPr>
        <w:t>,</w:t>
      </w:r>
      <w:r w:rsidRPr="004E0866">
        <w:rPr>
          <w:b/>
          <w:lang w:val="bg-BG"/>
        </w:rPr>
        <w:t xml:space="preserve"> във връзка с прилагането на изискванията на чл.14, §1 на Регламент (ЕС) № 517/2014 за флуорсъдържащите парникови газове</w:t>
      </w:r>
    </w:p>
    <w:p w:rsidR="000B2B2A" w:rsidRDefault="000B2B2A" w:rsidP="000B2B2A">
      <w:pPr>
        <w:jc w:val="both"/>
        <w:rPr>
          <w:lang w:val="bg-BG"/>
        </w:rPr>
      </w:pPr>
    </w:p>
    <w:p w:rsidR="009404AB" w:rsidRDefault="009404AB" w:rsidP="002E6C10">
      <w:pPr>
        <w:spacing w:after="0"/>
        <w:jc w:val="both"/>
        <w:rPr>
          <w:lang w:val="bg-BG"/>
        </w:rPr>
      </w:pPr>
      <w:r>
        <w:rPr>
          <w:lang w:val="bg-BG"/>
        </w:rPr>
        <w:t xml:space="preserve">Член 14, §1 на Регламент (ЕС) № 517/2014 въвежда забрана за допускането за свободно обращение на хладилно, климатично и термопомпено оборудване, предварително заредено с </w:t>
      </w:r>
      <w:r>
        <w:t>HFC</w:t>
      </w:r>
      <w:r w:rsidR="00F53019">
        <w:rPr>
          <w:lang w:val="bg-BG"/>
        </w:rPr>
        <w:t>,</w:t>
      </w:r>
      <w:r w:rsidRPr="009404AB">
        <w:rPr>
          <w:lang w:val="bg-BG"/>
        </w:rPr>
        <w:t xml:space="preserve"> </w:t>
      </w:r>
      <w:r>
        <w:rPr>
          <w:lang w:val="bg-BG"/>
        </w:rPr>
        <w:t>от 1 януари 2017г.</w:t>
      </w:r>
    </w:p>
    <w:p w:rsidR="002E6C10" w:rsidRDefault="002E6C10" w:rsidP="002E6C10">
      <w:pPr>
        <w:pBdr>
          <w:bottom w:val="single" w:sz="4" w:space="1" w:color="auto"/>
        </w:pBdr>
        <w:spacing w:after="0"/>
        <w:jc w:val="both"/>
        <w:rPr>
          <w:lang w:val="bg-BG"/>
        </w:rPr>
      </w:pPr>
    </w:p>
    <w:p w:rsidR="00965168" w:rsidRDefault="009127CE" w:rsidP="00965168">
      <w:p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E6C10">
        <w:rPr>
          <w:i/>
          <w:lang w:val="bg-BG"/>
        </w:rPr>
        <w:t>Забележк</w:t>
      </w:r>
      <w:r w:rsidR="00965168">
        <w:rPr>
          <w:i/>
          <w:lang w:val="bg-BG"/>
        </w:rPr>
        <w:t>и</w:t>
      </w:r>
      <w:r w:rsidRPr="002E6C10">
        <w:rPr>
          <w:i/>
          <w:lang w:val="bg-BG"/>
        </w:rPr>
        <w:t xml:space="preserve">: </w:t>
      </w:r>
      <w:r w:rsidR="00965168">
        <w:rPr>
          <w:i/>
          <w:lang w:val="bg-BG"/>
        </w:rPr>
        <w:t xml:space="preserve">1) </w:t>
      </w:r>
      <w:r w:rsidRPr="002E6C10">
        <w:rPr>
          <w:i/>
          <w:lang w:val="bg-BG"/>
        </w:rPr>
        <w:t xml:space="preserve">Забраната е приложима </w:t>
      </w:r>
      <w:r w:rsidR="002E6C10" w:rsidRPr="002E6C10">
        <w:rPr>
          <w:rFonts w:ascii="Times New Roman" w:hAnsi="Times New Roman"/>
          <w:i/>
          <w:sz w:val="24"/>
          <w:szCs w:val="24"/>
          <w:lang w:val="bg-BG"/>
        </w:rPr>
        <w:t xml:space="preserve">както за стационарно, така и за мобилно климатично оборудване. Следователно е забранен </w:t>
      </w:r>
      <w:r w:rsidR="00DF77F4" w:rsidRPr="002E6C10">
        <w:rPr>
          <w:rFonts w:ascii="Times New Roman" w:hAnsi="Times New Roman"/>
          <w:i/>
          <w:sz w:val="24"/>
          <w:szCs w:val="24"/>
          <w:lang w:val="bg-BG"/>
        </w:rPr>
        <w:t>внос</w:t>
      </w:r>
      <w:r w:rsidR="00DF77F4">
        <w:rPr>
          <w:rFonts w:ascii="Times New Roman" w:hAnsi="Times New Roman"/>
          <w:i/>
          <w:sz w:val="24"/>
          <w:szCs w:val="24"/>
          <w:lang w:val="bg-BG"/>
        </w:rPr>
        <w:t>ът</w:t>
      </w:r>
      <w:r w:rsidR="00DF77F4" w:rsidRPr="002E6C1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2E6C10" w:rsidRPr="002E6C10">
        <w:rPr>
          <w:rFonts w:ascii="Times New Roman" w:hAnsi="Times New Roman"/>
          <w:i/>
          <w:sz w:val="24"/>
          <w:szCs w:val="24"/>
          <w:lang w:val="bg-BG"/>
        </w:rPr>
        <w:t xml:space="preserve">на коли, камиони и др. превозни средства с климатично оборудване, предварително заредено с </w:t>
      </w:r>
      <w:r w:rsidR="002E6C10" w:rsidRPr="002E6C10">
        <w:rPr>
          <w:rFonts w:ascii="Times New Roman" w:hAnsi="Times New Roman"/>
          <w:i/>
          <w:sz w:val="24"/>
          <w:szCs w:val="24"/>
        </w:rPr>
        <w:t>HFC</w:t>
      </w:r>
      <w:r w:rsidR="00965168">
        <w:rPr>
          <w:rFonts w:ascii="Times New Roman" w:hAnsi="Times New Roman"/>
          <w:i/>
          <w:sz w:val="24"/>
          <w:szCs w:val="24"/>
          <w:lang w:val="bg-BG"/>
        </w:rPr>
        <w:t>;</w:t>
      </w:r>
    </w:p>
    <w:p w:rsidR="009127CE" w:rsidRPr="00065E37" w:rsidRDefault="00965168" w:rsidP="00965168">
      <w:pPr>
        <w:jc w:val="both"/>
        <w:rPr>
          <w:i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2) </w:t>
      </w:r>
      <w:r w:rsidR="00065E37">
        <w:rPr>
          <w:rFonts w:ascii="Times New Roman" w:hAnsi="Times New Roman"/>
          <w:i/>
          <w:sz w:val="24"/>
          <w:szCs w:val="24"/>
          <w:lang w:val="bg-BG"/>
        </w:rPr>
        <w:t xml:space="preserve">Няма праг за количества на </w:t>
      </w:r>
      <w:r w:rsidR="00065E37">
        <w:rPr>
          <w:rFonts w:ascii="Times New Roman" w:hAnsi="Times New Roman"/>
          <w:i/>
          <w:sz w:val="24"/>
          <w:szCs w:val="24"/>
        </w:rPr>
        <w:t>HFC</w:t>
      </w:r>
      <w:r w:rsidR="00065E37">
        <w:rPr>
          <w:rFonts w:ascii="Times New Roman" w:hAnsi="Times New Roman"/>
          <w:i/>
          <w:sz w:val="24"/>
          <w:szCs w:val="24"/>
          <w:lang w:val="bg-BG"/>
        </w:rPr>
        <w:t xml:space="preserve"> в оборудване, </w:t>
      </w:r>
      <w:r w:rsidR="00F53019">
        <w:rPr>
          <w:rFonts w:ascii="Times New Roman" w:hAnsi="Times New Roman"/>
          <w:i/>
          <w:sz w:val="24"/>
          <w:szCs w:val="24"/>
          <w:lang w:val="bg-BG"/>
        </w:rPr>
        <w:t xml:space="preserve">под </w:t>
      </w:r>
      <w:r w:rsidR="00065E37">
        <w:rPr>
          <w:rFonts w:ascii="Times New Roman" w:hAnsi="Times New Roman"/>
          <w:i/>
          <w:sz w:val="24"/>
          <w:szCs w:val="24"/>
          <w:lang w:val="bg-BG"/>
        </w:rPr>
        <w:t>който забраната</w:t>
      </w:r>
      <w:r w:rsidR="00F53019">
        <w:rPr>
          <w:rFonts w:ascii="Times New Roman" w:hAnsi="Times New Roman"/>
          <w:i/>
          <w:sz w:val="24"/>
          <w:szCs w:val="24"/>
          <w:lang w:val="bg-BG"/>
        </w:rPr>
        <w:t xml:space="preserve"> не е валидна</w:t>
      </w:r>
      <w:r w:rsidR="00065E37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9404AB" w:rsidRDefault="009404AB" w:rsidP="00965168">
      <w:pPr>
        <w:jc w:val="both"/>
        <w:rPr>
          <w:lang w:val="bg-BG"/>
        </w:rPr>
      </w:pPr>
      <w:r>
        <w:rPr>
          <w:lang w:val="bg-BG"/>
        </w:rPr>
        <w:t xml:space="preserve">Единственото изключение от забраната </w:t>
      </w:r>
      <w:r w:rsidR="00F53019">
        <w:rPr>
          <w:lang w:val="bg-BG"/>
        </w:rPr>
        <w:t xml:space="preserve">са </w:t>
      </w:r>
      <w:r>
        <w:rPr>
          <w:lang w:val="bg-BG"/>
        </w:rPr>
        <w:t xml:space="preserve">случаите, в които </w:t>
      </w:r>
      <w:r w:rsidR="000658E5">
        <w:t>HFC</w:t>
      </w:r>
      <w:r w:rsidR="000658E5">
        <w:rPr>
          <w:lang w:val="bg-BG"/>
        </w:rPr>
        <w:t>, с които е заредено оборудването</w:t>
      </w:r>
      <w:r w:rsidR="00F53019">
        <w:rPr>
          <w:lang w:val="bg-BG"/>
        </w:rPr>
        <w:t>,</w:t>
      </w:r>
      <w:r w:rsidR="000658E5">
        <w:rPr>
          <w:lang w:val="bg-BG"/>
        </w:rPr>
        <w:t xml:space="preserve"> са </w:t>
      </w:r>
      <w:r w:rsidR="000658E5" w:rsidRPr="000658E5">
        <w:rPr>
          <w:b/>
          <w:lang w:val="bg-BG"/>
        </w:rPr>
        <w:t>отчетени в системата за квоти</w:t>
      </w:r>
      <w:r w:rsidR="000658E5">
        <w:rPr>
          <w:lang w:val="bg-BG"/>
        </w:rPr>
        <w:t xml:space="preserve">, регламентирана в глава </w:t>
      </w:r>
      <w:r w:rsidR="000658E5">
        <w:t>IV</w:t>
      </w:r>
      <w:r w:rsidR="000658E5">
        <w:rPr>
          <w:lang w:val="bg-BG"/>
        </w:rPr>
        <w:t xml:space="preserve"> на Регламент (ЕС) № 517/2014.</w:t>
      </w:r>
    </w:p>
    <w:p w:rsidR="000658E5" w:rsidRDefault="001E2780" w:rsidP="000B2B2A">
      <w:pPr>
        <w:jc w:val="both"/>
        <w:rPr>
          <w:lang w:val="bg-BG"/>
        </w:rPr>
      </w:pPr>
      <w:r>
        <w:rPr>
          <w:lang w:val="bg-BG"/>
        </w:rPr>
        <w:t xml:space="preserve">Отчитането в квотната система е възможно да се </w:t>
      </w:r>
      <w:r w:rsidR="00F53019">
        <w:rPr>
          <w:lang w:val="bg-BG"/>
        </w:rPr>
        <w:t xml:space="preserve">извърши </w:t>
      </w:r>
      <w:r>
        <w:rPr>
          <w:lang w:val="bg-BG"/>
        </w:rPr>
        <w:t>по два начина:</w:t>
      </w:r>
    </w:p>
    <w:p w:rsidR="001E2780" w:rsidRDefault="001E2780" w:rsidP="001E2780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чрез получаване на разрешение (</w:t>
      </w:r>
      <w:proofErr w:type="spellStart"/>
      <w:r>
        <w:t>authori</w:t>
      </w:r>
      <w:r w:rsidR="00874A16">
        <w:t>s</w:t>
      </w:r>
      <w:r>
        <w:t>ation</w:t>
      </w:r>
      <w:proofErr w:type="spellEnd"/>
      <w:r w:rsidRPr="001E2780">
        <w:rPr>
          <w:lang w:val="bg-BG"/>
        </w:rPr>
        <w:t xml:space="preserve">) </w:t>
      </w:r>
      <w:r>
        <w:rPr>
          <w:lang w:val="bg-BG"/>
        </w:rPr>
        <w:t>за квота в съответствие с чл.18, §2 на Регламент (ЕС) № 517/2014;</w:t>
      </w:r>
    </w:p>
    <w:p w:rsidR="00C87E23" w:rsidRDefault="00C87E23" w:rsidP="00C87E23">
      <w:pPr>
        <w:pStyle w:val="ListParagraph"/>
        <w:jc w:val="both"/>
        <w:rPr>
          <w:lang w:val="bg-BG"/>
        </w:rPr>
      </w:pPr>
    </w:p>
    <w:p w:rsidR="00C87E23" w:rsidRPr="00874A16" w:rsidRDefault="001E2780" w:rsidP="00C87E23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чрез</w:t>
      </w:r>
      <w:r w:rsidR="00173339">
        <w:rPr>
          <w:lang w:val="bg-BG"/>
        </w:rPr>
        <w:t xml:space="preserve"> </w:t>
      </w:r>
      <w:r w:rsidR="00712D54">
        <w:rPr>
          <w:lang w:val="bg-BG"/>
        </w:rPr>
        <w:t xml:space="preserve">предварителното </w:t>
      </w:r>
      <w:r w:rsidR="00173339">
        <w:rPr>
          <w:lang w:val="bg-BG"/>
        </w:rPr>
        <w:t xml:space="preserve">пускане на пазара в ЕС на </w:t>
      </w:r>
      <w:r w:rsidR="00712D54">
        <w:t>HFC</w:t>
      </w:r>
      <w:r w:rsidR="00712D54">
        <w:rPr>
          <w:lang w:val="bg-BG"/>
        </w:rPr>
        <w:t>,</w:t>
      </w:r>
      <w:r w:rsidR="00C87E23">
        <w:rPr>
          <w:lang w:val="bg-BG"/>
        </w:rPr>
        <w:t xml:space="preserve"> след което същите са били изнесени извън ЕС и </w:t>
      </w:r>
      <w:r w:rsidR="00712D54">
        <w:rPr>
          <w:lang w:val="bg-BG"/>
        </w:rPr>
        <w:t>зареден</w:t>
      </w:r>
      <w:r w:rsidR="00C87E23">
        <w:rPr>
          <w:lang w:val="bg-BG"/>
        </w:rPr>
        <w:t>и в</w:t>
      </w:r>
      <w:r w:rsidR="00712D54">
        <w:rPr>
          <w:lang w:val="bg-BG"/>
        </w:rPr>
        <w:t xml:space="preserve"> оборудването</w:t>
      </w:r>
      <w:r w:rsidR="00C87E23">
        <w:rPr>
          <w:lang w:val="bg-BG"/>
        </w:rPr>
        <w:t>.</w:t>
      </w:r>
    </w:p>
    <w:p w:rsidR="00874A16" w:rsidRPr="00874A16" w:rsidRDefault="00874A16" w:rsidP="00874A16">
      <w:pPr>
        <w:pStyle w:val="ListParagraph"/>
        <w:rPr>
          <w:lang w:val="bg-BG"/>
        </w:rPr>
      </w:pPr>
    </w:p>
    <w:p w:rsidR="00F15D6C" w:rsidRDefault="009127CE" w:rsidP="00874A16">
      <w:pPr>
        <w:jc w:val="both"/>
        <w:rPr>
          <w:lang w:val="bg-BG"/>
        </w:rPr>
      </w:pPr>
      <w:r w:rsidRPr="001C0AC5">
        <w:rPr>
          <w:i/>
          <w:u w:val="single"/>
          <w:lang w:val="bg-BG"/>
        </w:rPr>
        <w:t>П</w:t>
      </w:r>
      <w:r w:rsidR="00874A16" w:rsidRPr="001C0AC5">
        <w:rPr>
          <w:i/>
          <w:u w:val="single"/>
          <w:lang w:val="bg-BG"/>
        </w:rPr>
        <w:t>ол</w:t>
      </w:r>
      <w:r w:rsidRPr="001C0AC5">
        <w:rPr>
          <w:i/>
          <w:u w:val="single"/>
          <w:lang w:val="bg-BG"/>
        </w:rPr>
        <w:t>учаването на</w:t>
      </w:r>
      <w:r w:rsidRPr="001C0AC5">
        <w:rPr>
          <w:u w:val="single"/>
          <w:lang w:val="bg-BG"/>
        </w:rPr>
        <w:t xml:space="preserve"> </w:t>
      </w:r>
      <w:r w:rsidRPr="001C0AC5">
        <w:rPr>
          <w:i/>
          <w:u w:val="single"/>
          <w:lang w:val="bg-BG"/>
        </w:rPr>
        <w:t xml:space="preserve">разрешение за </w:t>
      </w:r>
      <w:r w:rsidR="00B65BCA" w:rsidRPr="001C0AC5">
        <w:rPr>
          <w:i/>
          <w:u w:val="single"/>
          <w:lang w:val="bg-BG"/>
        </w:rPr>
        <w:t xml:space="preserve">използване на </w:t>
      </w:r>
      <w:r w:rsidRPr="001C0AC5">
        <w:rPr>
          <w:i/>
          <w:u w:val="single"/>
          <w:lang w:val="bg-BG"/>
        </w:rPr>
        <w:t>квота</w:t>
      </w:r>
      <w:r w:rsidR="00B65BCA">
        <w:rPr>
          <w:lang w:val="bg-BG"/>
        </w:rPr>
        <w:t xml:space="preserve"> представлява споразумение между </w:t>
      </w:r>
      <w:proofErr w:type="spellStart"/>
      <w:r w:rsidR="00B65BCA">
        <w:rPr>
          <w:lang w:val="bg-BG"/>
        </w:rPr>
        <w:t>квото-държател</w:t>
      </w:r>
      <w:proofErr w:type="spellEnd"/>
      <w:r w:rsidR="00B65BCA">
        <w:rPr>
          <w:lang w:val="bg-BG"/>
        </w:rPr>
        <w:t xml:space="preserve"> и вносител, което трябва да се регистрира </w:t>
      </w:r>
      <w:r w:rsidR="00F15D6C">
        <w:rPr>
          <w:lang w:val="bg-BG"/>
        </w:rPr>
        <w:t>онлайн</w:t>
      </w:r>
      <w:r w:rsidR="00F15D6C" w:rsidRPr="00F15D6C">
        <w:rPr>
          <w:lang w:val="bg-BG"/>
        </w:rPr>
        <w:t xml:space="preserve"> </w:t>
      </w:r>
      <w:r w:rsidR="00F15D6C">
        <w:rPr>
          <w:lang w:val="bg-BG"/>
        </w:rPr>
        <w:t xml:space="preserve">в </w:t>
      </w:r>
      <w:r w:rsidR="00F15D6C">
        <w:t>HFC</w:t>
      </w:r>
      <w:r w:rsidR="00F15D6C" w:rsidRPr="00F15D6C">
        <w:rPr>
          <w:lang w:val="bg-BG"/>
        </w:rPr>
        <w:t xml:space="preserve"> </w:t>
      </w:r>
      <w:r w:rsidR="00F15D6C">
        <w:rPr>
          <w:lang w:val="bg-BG"/>
        </w:rPr>
        <w:t xml:space="preserve">регистъра, който е достъпен посредством </w:t>
      </w:r>
      <w:r w:rsidR="00F15D6C">
        <w:t>F</w:t>
      </w:r>
      <w:r w:rsidR="00F15D6C">
        <w:rPr>
          <w:lang w:val="bg-BG"/>
        </w:rPr>
        <w:t>-газ портала:</w:t>
      </w:r>
    </w:p>
    <w:p w:rsidR="00874A16" w:rsidRDefault="00E2258E" w:rsidP="00874A16">
      <w:pPr>
        <w:jc w:val="both"/>
        <w:rPr>
          <w:lang w:val="bg-BG"/>
        </w:rPr>
      </w:pPr>
      <w:r>
        <w:fldChar w:fldCharType="begin"/>
      </w:r>
      <w:r w:rsidRPr="00443410">
        <w:rPr>
          <w:lang w:val="bg-BG"/>
        </w:rPr>
        <w:instrText xml:space="preserve"> </w:instrText>
      </w:r>
      <w:r>
        <w:instrText>HYPERLINK</w:instrText>
      </w:r>
      <w:r w:rsidRPr="00443410">
        <w:rPr>
          <w:lang w:val="bg-BG"/>
        </w:rPr>
        <w:instrText xml:space="preserve"> "</w:instrText>
      </w:r>
      <w:r>
        <w:instrText>https</w:instrText>
      </w:r>
      <w:r w:rsidRPr="00443410">
        <w:rPr>
          <w:lang w:val="bg-BG"/>
        </w:rPr>
        <w:instrText>://</w:instrText>
      </w:r>
      <w:r>
        <w:instrText>webgate</w:instrText>
      </w:r>
      <w:r w:rsidRPr="00443410">
        <w:rPr>
          <w:lang w:val="bg-BG"/>
        </w:rPr>
        <w:instrText>.</w:instrText>
      </w:r>
      <w:r>
        <w:instrText>ec</w:instrText>
      </w:r>
      <w:r w:rsidRPr="00443410">
        <w:rPr>
          <w:lang w:val="bg-BG"/>
        </w:rPr>
        <w:instrText>.</w:instrText>
      </w:r>
      <w:r>
        <w:instrText>europa</w:instrText>
      </w:r>
      <w:r w:rsidRPr="00443410">
        <w:rPr>
          <w:lang w:val="bg-BG"/>
        </w:rPr>
        <w:instrText>.</w:instrText>
      </w:r>
      <w:r>
        <w:instrText>eu</w:instrText>
      </w:r>
      <w:r w:rsidRPr="00443410">
        <w:rPr>
          <w:lang w:val="bg-BG"/>
        </w:rPr>
        <w:instrText>/</w:instrText>
      </w:r>
      <w:r>
        <w:instrText>cas</w:instrText>
      </w:r>
      <w:r w:rsidRPr="00443410">
        <w:rPr>
          <w:lang w:val="bg-BG"/>
        </w:rPr>
        <w:instrText>/</w:instrText>
      </w:r>
      <w:r>
        <w:instrText>login</w:instrText>
      </w:r>
      <w:r w:rsidRPr="00443410">
        <w:rPr>
          <w:lang w:val="bg-BG"/>
        </w:rPr>
        <w:instrText>?</w:instrText>
      </w:r>
      <w:r>
        <w:instrText>loginRequestId</w:instrText>
      </w:r>
      <w:r w:rsidRPr="00443410">
        <w:rPr>
          <w:lang w:val="bg-BG"/>
        </w:rPr>
        <w:instrText>=</w:instrText>
      </w:r>
      <w:r>
        <w:instrText>ECAS</w:instrText>
      </w:r>
      <w:r w:rsidRPr="00443410">
        <w:rPr>
          <w:lang w:val="bg-BG"/>
        </w:rPr>
        <w:instrText>_</w:instrText>
      </w:r>
      <w:r>
        <w:instrText>LR</w:instrText>
      </w:r>
      <w:r w:rsidRPr="00443410">
        <w:rPr>
          <w:lang w:val="bg-BG"/>
        </w:rPr>
        <w:instrText>-1758915-</w:instrText>
      </w:r>
      <w:r>
        <w:instrText>e</w:instrText>
      </w:r>
      <w:r w:rsidRPr="00443410">
        <w:rPr>
          <w:lang w:val="bg-BG"/>
        </w:rPr>
        <w:instrText>1</w:instrText>
      </w:r>
      <w:r>
        <w:instrText>SDzbBrzOVtAAQkj</w:instrText>
      </w:r>
      <w:r w:rsidRPr="00443410">
        <w:rPr>
          <w:lang w:val="bg-BG"/>
        </w:rPr>
        <w:instrText>30</w:instrText>
      </w:r>
      <w:r>
        <w:instrText>h</w:instrText>
      </w:r>
      <w:r w:rsidRPr="00443410">
        <w:rPr>
          <w:lang w:val="bg-BG"/>
        </w:rPr>
        <w:instrText>72</w:instrText>
      </w:r>
      <w:r>
        <w:instrText>lObXVlucQzKDzkvjCp</w:instrText>
      </w:r>
      <w:r w:rsidRPr="00443410">
        <w:rPr>
          <w:lang w:val="bg-BG"/>
        </w:rPr>
        <w:instrText>4</w:instrText>
      </w:r>
      <w:r>
        <w:instrText>ykWNVAQSuM</w:instrText>
      </w:r>
      <w:r w:rsidRPr="00443410">
        <w:rPr>
          <w:lang w:val="bg-BG"/>
        </w:rPr>
        <w:instrText>3</w:instrText>
      </w:r>
      <w:r>
        <w:instrText>g</w:instrText>
      </w:r>
      <w:r w:rsidRPr="00443410">
        <w:rPr>
          <w:lang w:val="bg-BG"/>
        </w:rPr>
        <w:instrText>1</w:instrText>
      </w:r>
      <w:r>
        <w:instrText>Hj</w:instrText>
      </w:r>
      <w:r w:rsidRPr="00443410">
        <w:rPr>
          <w:lang w:val="bg-BG"/>
        </w:rPr>
        <w:instrText>4</w:instrText>
      </w:r>
      <w:r>
        <w:instrText>CRpymlUGON</w:instrText>
      </w:r>
      <w:r w:rsidRPr="00443410">
        <w:rPr>
          <w:lang w:val="bg-BG"/>
        </w:rPr>
        <w:instrText>77</w:instrText>
      </w:r>
      <w:r>
        <w:instrText>PrZ</w:instrText>
      </w:r>
      <w:r w:rsidRPr="00443410">
        <w:rPr>
          <w:lang w:val="bg-BG"/>
        </w:rPr>
        <w:instrText>5</w:instrText>
      </w:r>
      <w:r>
        <w:instrText>zjTjaMXqWmhMLzW</w:instrText>
      </w:r>
      <w:r w:rsidRPr="00443410">
        <w:rPr>
          <w:lang w:val="bg-BG"/>
        </w:rPr>
        <w:instrText>-</w:instrText>
      </w:r>
      <w:r>
        <w:instrText>PHslUMVSXYCNKvis</w:instrText>
      </w:r>
      <w:r w:rsidRPr="00443410">
        <w:rPr>
          <w:lang w:val="bg-BG"/>
        </w:rPr>
        <w:instrText>9</w:instrText>
      </w:r>
      <w:r>
        <w:instrText>kSIPa</w:instrText>
      </w:r>
      <w:r w:rsidRPr="00443410">
        <w:rPr>
          <w:lang w:val="bg-BG"/>
        </w:rPr>
        <w:instrText>-</w:instrText>
      </w:r>
      <w:r>
        <w:instrText>d</w:instrText>
      </w:r>
      <w:r w:rsidRPr="00443410">
        <w:rPr>
          <w:lang w:val="bg-BG"/>
        </w:rPr>
        <w:instrText>4</w:instrText>
      </w:r>
      <w:r>
        <w:instrText>gYzqOU</w:instrText>
      </w:r>
      <w:r w:rsidRPr="00443410">
        <w:rPr>
          <w:lang w:val="bg-BG"/>
        </w:rPr>
        <w:instrText>850</w:instrText>
      </w:r>
      <w:r>
        <w:instrText>Gflg</w:instrText>
      </w:r>
      <w:r w:rsidRPr="00443410">
        <w:rPr>
          <w:lang w:val="bg-BG"/>
        </w:rPr>
        <w:instrText>4</w:instrText>
      </w:r>
      <w:r>
        <w:instrText>I</w:instrText>
      </w:r>
      <w:r w:rsidRPr="00443410">
        <w:rPr>
          <w:lang w:val="bg-BG"/>
        </w:rPr>
        <w:instrText>2</w:instrText>
      </w:r>
      <w:r>
        <w:instrText>qpSO</w:instrText>
      </w:r>
      <w:r w:rsidRPr="00443410">
        <w:rPr>
          <w:lang w:val="bg-BG"/>
        </w:rPr>
        <w:instrText>1</w:instrText>
      </w:r>
      <w:r>
        <w:instrText>rnHnZ</w:instrText>
      </w:r>
      <w:r w:rsidRPr="00443410">
        <w:rPr>
          <w:lang w:val="bg-BG"/>
        </w:rPr>
        <w:instrText>3</w:instrText>
      </w:r>
      <w:r>
        <w:instrText>Ok</w:instrText>
      </w:r>
      <w:r w:rsidRPr="00443410">
        <w:rPr>
          <w:lang w:val="bg-BG"/>
        </w:rPr>
        <w:instrText>1</w:instrText>
      </w:r>
      <w:r>
        <w:instrText>gQqTQrsbUoq</w:instrText>
      </w:r>
      <w:r w:rsidRPr="00443410">
        <w:rPr>
          <w:lang w:val="bg-BG"/>
        </w:rPr>
        <w:instrText xml:space="preserve">" </w:instrText>
      </w:r>
      <w:r>
        <w:fldChar w:fldCharType="separate"/>
      </w:r>
      <w:r w:rsidR="00F15D6C" w:rsidRPr="00861EF5">
        <w:rPr>
          <w:rStyle w:val="Hyperlink"/>
          <w:lang w:val="bg-BG"/>
        </w:rPr>
        <w:t>https://webgate.ec.europa.eu/cas/login?loginRequestId=ECAS_LR-1758915-e1SDzbBrzOVtAAQkj30h72lObXVlucQzKDzkvjCp4ykWNVAQSuM3g1Hj4CRpymlUGON77PrZ5zjTjaMXqWmhMLzW-PHslUMVSXYCNKvis9kSIPa-d4gYzqOU850Gflg4I2qpSO1rnHnZ3Ok1gQqTQrsbUoq</w:t>
      </w:r>
      <w:r>
        <w:rPr>
          <w:rStyle w:val="Hyperlink"/>
          <w:lang w:val="bg-BG"/>
        </w:rPr>
        <w:fldChar w:fldCharType="end"/>
      </w:r>
      <w:r w:rsidR="00F15D6C">
        <w:rPr>
          <w:lang w:val="bg-BG"/>
        </w:rPr>
        <w:t>.</w:t>
      </w:r>
    </w:p>
    <w:p w:rsidR="000D3350" w:rsidRPr="000D3350" w:rsidRDefault="001C0AC5" w:rsidP="000D3350">
      <w:pPr>
        <w:jc w:val="both"/>
        <w:rPr>
          <w:lang w:val="bg-BG"/>
        </w:rPr>
      </w:pPr>
      <w:r>
        <w:rPr>
          <w:lang w:val="bg-BG"/>
        </w:rPr>
        <w:t>Регистърът също позволява делегиране на разрешения от лице, което управлява разрешения, като напр. произ</w:t>
      </w:r>
      <w:r w:rsidR="000D3350">
        <w:rPr>
          <w:lang w:val="bg-BG"/>
        </w:rPr>
        <w:t xml:space="preserve">водителя на оборудването, с цел да се помогне на вносителите да изпълнят техните задължения. </w:t>
      </w:r>
      <w:r w:rsidR="0049149A">
        <w:rPr>
          <w:lang w:val="bg-BG"/>
        </w:rPr>
        <w:t>П</w:t>
      </w:r>
      <w:r w:rsidR="000D3350">
        <w:rPr>
          <w:lang w:val="bg-BG"/>
        </w:rPr>
        <w:t xml:space="preserve">овече информация </w:t>
      </w:r>
      <w:r w:rsidR="0049149A">
        <w:rPr>
          <w:lang w:val="bg-BG"/>
        </w:rPr>
        <w:t xml:space="preserve">може да </w:t>
      </w:r>
      <w:r w:rsidR="00F53019">
        <w:rPr>
          <w:lang w:val="bg-BG"/>
        </w:rPr>
        <w:t xml:space="preserve">се </w:t>
      </w:r>
      <w:r w:rsidR="0049149A">
        <w:rPr>
          <w:lang w:val="bg-BG"/>
        </w:rPr>
        <w:t>получи от</w:t>
      </w:r>
      <w:r w:rsidR="000D3350">
        <w:rPr>
          <w:lang w:val="bg-BG"/>
        </w:rPr>
        <w:t xml:space="preserve"> р</w:t>
      </w:r>
      <w:r w:rsidR="000D3350" w:rsidRPr="000D3350">
        <w:rPr>
          <w:lang w:val="bg-BG"/>
        </w:rPr>
        <w:t>ъководство</w:t>
      </w:r>
      <w:r w:rsidR="000D3350">
        <w:rPr>
          <w:lang w:val="bg-BG"/>
        </w:rPr>
        <w:t>то на Европейската комисия</w:t>
      </w:r>
      <w:r w:rsidR="000D3350" w:rsidRPr="000D3350">
        <w:rPr>
          <w:lang w:val="bg-BG"/>
        </w:rPr>
        <w:t xml:space="preserve"> </w:t>
      </w:r>
      <w:r w:rsidR="00F058B7">
        <w:rPr>
          <w:lang w:val="bg-BG"/>
        </w:rPr>
        <w:t xml:space="preserve">(ЕК) </w:t>
      </w:r>
      <w:r w:rsidR="000D3350" w:rsidRPr="000D3350">
        <w:rPr>
          <w:lang w:val="bg-BG"/>
        </w:rPr>
        <w:t>за вносителите на оборудване</w:t>
      </w:r>
      <w:r w:rsidR="000D3350">
        <w:rPr>
          <w:lang w:val="bg-BG"/>
        </w:rPr>
        <w:t>, което</w:t>
      </w:r>
      <w:r w:rsidR="000D3350" w:rsidRPr="000D3350">
        <w:rPr>
          <w:lang w:val="bg-BG"/>
        </w:rPr>
        <w:t xml:space="preserve"> може да се открие на следния интернет адрес:</w:t>
      </w:r>
    </w:p>
    <w:p w:rsidR="00F15D6C" w:rsidRDefault="00E2258E" w:rsidP="00EF4958">
      <w:pPr>
        <w:spacing w:after="0"/>
        <w:jc w:val="both"/>
        <w:rPr>
          <w:lang w:val="bg-BG"/>
        </w:rPr>
      </w:pPr>
      <w:r>
        <w:fldChar w:fldCharType="begin"/>
      </w:r>
      <w:r w:rsidRPr="00443410">
        <w:rPr>
          <w:lang w:val="bg-BG"/>
        </w:rPr>
        <w:instrText xml:space="preserve"> </w:instrText>
      </w:r>
      <w:r>
        <w:instrText>HYPERLINK</w:instrText>
      </w:r>
      <w:r w:rsidRPr="00443410">
        <w:rPr>
          <w:lang w:val="bg-BG"/>
        </w:rPr>
        <w:instrText xml:space="preserve"> "</w:instrText>
      </w:r>
      <w:r>
        <w:instrText>https</w:instrText>
      </w:r>
      <w:r w:rsidRPr="00443410">
        <w:rPr>
          <w:lang w:val="bg-BG"/>
        </w:rPr>
        <w:instrText>://</w:instrText>
      </w:r>
      <w:r>
        <w:instrText>ec</w:instrText>
      </w:r>
      <w:r w:rsidRPr="00443410">
        <w:rPr>
          <w:lang w:val="bg-BG"/>
        </w:rPr>
        <w:instrText>.</w:instrText>
      </w:r>
      <w:r>
        <w:instrText>europa</w:instrText>
      </w:r>
      <w:r w:rsidRPr="00443410">
        <w:rPr>
          <w:lang w:val="bg-BG"/>
        </w:rPr>
        <w:instrText>.</w:instrText>
      </w:r>
      <w:r>
        <w:instrText>eu</w:instrText>
      </w:r>
      <w:r w:rsidRPr="00443410">
        <w:rPr>
          <w:lang w:val="bg-BG"/>
        </w:rPr>
        <w:instrText>/</w:instrText>
      </w:r>
      <w:r>
        <w:instrText>clima</w:instrText>
      </w:r>
      <w:r w:rsidRPr="00443410">
        <w:rPr>
          <w:lang w:val="bg-BG"/>
        </w:rPr>
        <w:instrText>/</w:instrText>
      </w:r>
      <w:r>
        <w:instrText>sites</w:instrText>
      </w:r>
      <w:r w:rsidRPr="00443410">
        <w:rPr>
          <w:lang w:val="bg-BG"/>
        </w:rPr>
        <w:instrText>/</w:instrText>
      </w:r>
      <w:r>
        <w:instrText>clima</w:instrText>
      </w:r>
      <w:r w:rsidRPr="00443410">
        <w:rPr>
          <w:lang w:val="bg-BG"/>
        </w:rPr>
        <w:instrText>/</w:instrText>
      </w:r>
      <w:r>
        <w:instrText>files</w:instrText>
      </w:r>
      <w:r w:rsidRPr="00443410">
        <w:rPr>
          <w:lang w:val="bg-BG"/>
        </w:rPr>
        <w:instrText>/</w:instrText>
      </w:r>
      <w:r>
        <w:instrText>f</w:instrText>
      </w:r>
      <w:r w:rsidRPr="00443410">
        <w:rPr>
          <w:lang w:val="bg-BG"/>
        </w:rPr>
        <w:instrText>-</w:instrText>
      </w:r>
      <w:r>
        <w:instrText>gas</w:instrText>
      </w:r>
      <w:r w:rsidRPr="00443410">
        <w:rPr>
          <w:lang w:val="bg-BG"/>
        </w:rPr>
        <w:instrText>/</w:instrText>
      </w:r>
      <w:r>
        <w:instrText>docs</w:instrText>
      </w:r>
      <w:r w:rsidRPr="00443410">
        <w:rPr>
          <w:lang w:val="bg-BG"/>
        </w:rPr>
        <w:instrText>/</w:instrText>
      </w:r>
      <w:r>
        <w:instrText>guidance</w:instrText>
      </w:r>
      <w:r w:rsidRPr="00443410">
        <w:rPr>
          <w:lang w:val="bg-BG"/>
        </w:rPr>
        <w:instrText>_</w:instrText>
      </w:r>
      <w:r>
        <w:instrText>equipment</w:instrText>
      </w:r>
      <w:r w:rsidRPr="00443410">
        <w:rPr>
          <w:lang w:val="bg-BG"/>
        </w:rPr>
        <w:instrText>_</w:instrText>
      </w:r>
      <w:r>
        <w:instrText>importers</w:instrText>
      </w:r>
      <w:r w:rsidRPr="00443410">
        <w:rPr>
          <w:lang w:val="bg-BG"/>
        </w:rPr>
        <w:instrText>_</w:instrText>
      </w:r>
      <w:r>
        <w:instrText>en</w:instrText>
      </w:r>
      <w:r w:rsidRPr="00443410">
        <w:rPr>
          <w:lang w:val="bg-BG"/>
        </w:rPr>
        <w:instrText>.</w:instrText>
      </w:r>
      <w:r>
        <w:instrText>pdf</w:instrText>
      </w:r>
      <w:r w:rsidRPr="00443410">
        <w:rPr>
          <w:lang w:val="bg-BG"/>
        </w:rPr>
        <w:instrText xml:space="preserve">" </w:instrText>
      </w:r>
      <w:r>
        <w:fldChar w:fldCharType="separate"/>
      </w:r>
      <w:r w:rsidR="001B775F" w:rsidRPr="00861EF5">
        <w:rPr>
          <w:rStyle w:val="Hyperlink"/>
          <w:lang w:val="bg-BG"/>
        </w:rPr>
        <w:t>https://ec.europa.eu/clima/sites/clima/files/f-gas/docs/guidance_equipment_importers_en.pdf</w:t>
      </w:r>
      <w:r>
        <w:rPr>
          <w:rStyle w:val="Hyperlink"/>
          <w:lang w:val="bg-BG"/>
        </w:rPr>
        <w:fldChar w:fldCharType="end"/>
      </w:r>
      <w:r w:rsidR="000D3350" w:rsidRPr="000D3350">
        <w:rPr>
          <w:lang w:val="bg-BG"/>
        </w:rPr>
        <w:t>.</w:t>
      </w:r>
    </w:p>
    <w:p w:rsidR="00EF4958" w:rsidRDefault="00EF4958" w:rsidP="00EF4958">
      <w:pPr>
        <w:pBdr>
          <w:bottom w:val="single" w:sz="4" w:space="1" w:color="auto"/>
        </w:pBdr>
        <w:spacing w:after="0"/>
        <w:jc w:val="both"/>
        <w:rPr>
          <w:lang w:val="bg-BG"/>
        </w:rPr>
      </w:pPr>
    </w:p>
    <w:p w:rsidR="00EF4958" w:rsidRDefault="00EF4958" w:rsidP="00B607F3">
      <w:pPr>
        <w:spacing w:after="0"/>
        <w:jc w:val="both"/>
        <w:rPr>
          <w:i/>
          <w:lang w:val="bg-BG"/>
        </w:rPr>
      </w:pPr>
      <w:r>
        <w:rPr>
          <w:i/>
          <w:lang w:val="bg-BG"/>
        </w:rPr>
        <w:lastRenderedPageBreak/>
        <w:t>Забележк</w:t>
      </w:r>
      <w:r w:rsidR="00B607F3">
        <w:rPr>
          <w:i/>
          <w:lang w:val="bg-BG"/>
        </w:rPr>
        <w:t>и</w:t>
      </w:r>
      <w:r>
        <w:rPr>
          <w:i/>
          <w:lang w:val="bg-BG"/>
        </w:rPr>
        <w:t xml:space="preserve">: </w:t>
      </w:r>
      <w:r w:rsidR="00B607F3">
        <w:rPr>
          <w:i/>
          <w:lang w:val="bg-BG"/>
        </w:rPr>
        <w:t xml:space="preserve">1) </w:t>
      </w:r>
      <w:r>
        <w:rPr>
          <w:i/>
          <w:lang w:val="bg-BG"/>
        </w:rPr>
        <w:t xml:space="preserve">При разрешаване или делегиране на разрешения на квоти в </w:t>
      </w:r>
      <w:r>
        <w:rPr>
          <w:i/>
        </w:rPr>
        <w:t>HFC</w:t>
      </w:r>
      <w:r>
        <w:rPr>
          <w:i/>
          <w:lang w:val="bg-BG"/>
        </w:rPr>
        <w:t xml:space="preserve">-регистъра, вносителят трябва да приеме прехвърлените му квоти, за да може същите да бъдат отчетени като </w:t>
      </w:r>
      <w:r w:rsidR="00B607F3">
        <w:rPr>
          <w:i/>
          <w:lang w:val="bg-BG"/>
        </w:rPr>
        <w:t>разрешени.</w:t>
      </w:r>
    </w:p>
    <w:p w:rsidR="00B607F3" w:rsidRDefault="00B607F3" w:rsidP="00F058B7">
      <w:pPr>
        <w:spacing w:after="0"/>
        <w:jc w:val="both"/>
        <w:rPr>
          <w:i/>
          <w:lang w:val="bg-BG"/>
        </w:rPr>
      </w:pPr>
      <w:r>
        <w:rPr>
          <w:i/>
          <w:lang w:val="bg-BG"/>
        </w:rPr>
        <w:t>2) Списък с големите</w:t>
      </w:r>
      <w:r w:rsidR="00F058B7" w:rsidRPr="00F058B7">
        <w:rPr>
          <w:i/>
          <w:lang w:val="bg-BG"/>
        </w:rPr>
        <w:t xml:space="preserve"> </w:t>
      </w:r>
      <w:proofErr w:type="spellStart"/>
      <w:r w:rsidR="00F058B7">
        <w:rPr>
          <w:i/>
          <w:lang w:val="bg-BG"/>
        </w:rPr>
        <w:t>квото-държатели</w:t>
      </w:r>
      <w:proofErr w:type="spellEnd"/>
      <w:r>
        <w:rPr>
          <w:i/>
          <w:lang w:val="bg-BG"/>
        </w:rPr>
        <w:t xml:space="preserve"> </w:t>
      </w:r>
      <w:r w:rsidR="00F058B7">
        <w:rPr>
          <w:i/>
          <w:lang w:val="bg-BG"/>
        </w:rPr>
        <w:t>(</w:t>
      </w:r>
      <w:r>
        <w:rPr>
          <w:i/>
          <w:lang w:val="bg-BG"/>
        </w:rPr>
        <w:t>вносители</w:t>
      </w:r>
      <w:r w:rsidR="00F058B7">
        <w:rPr>
          <w:i/>
          <w:lang w:val="bg-BG"/>
        </w:rPr>
        <w:t xml:space="preserve"> на </w:t>
      </w:r>
      <w:r w:rsidR="00F058B7">
        <w:rPr>
          <w:i/>
        </w:rPr>
        <w:t>HFC</w:t>
      </w:r>
      <w:r w:rsidR="00F058B7">
        <w:rPr>
          <w:i/>
          <w:lang w:val="bg-BG"/>
        </w:rPr>
        <w:t>)</w:t>
      </w:r>
      <w:r>
        <w:rPr>
          <w:i/>
          <w:lang w:val="bg-BG"/>
        </w:rPr>
        <w:t xml:space="preserve">, на които всяка година се </w:t>
      </w:r>
      <w:r w:rsidR="00F058B7">
        <w:rPr>
          <w:i/>
          <w:lang w:val="bg-BG"/>
        </w:rPr>
        <w:t>разпределят квоти за следващата календарна година</w:t>
      </w:r>
      <w:r w:rsidR="00653CE8">
        <w:rPr>
          <w:i/>
          <w:lang w:val="bg-BG"/>
        </w:rPr>
        <w:t>,</w:t>
      </w:r>
      <w:r w:rsidR="00F058B7">
        <w:rPr>
          <w:i/>
          <w:lang w:val="bg-BG"/>
        </w:rPr>
        <w:t xml:space="preserve"> е представен от ЕК с решение, което може да бъде открито на следния интернет адрес:</w:t>
      </w:r>
    </w:p>
    <w:p w:rsidR="00F058B7" w:rsidRPr="00EF4958" w:rsidRDefault="00E2258E" w:rsidP="001255A9">
      <w:pPr>
        <w:jc w:val="both"/>
        <w:rPr>
          <w:i/>
          <w:lang w:val="bg-BG"/>
        </w:rPr>
      </w:pPr>
      <w:hyperlink r:id="rId9" w:history="1">
        <w:r w:rsidR="00F058B7" w:rsidRPr="00861EF5">
          <w:rPr>
            <w:rStyle w:val="Hyperlink"/>
            <w:i/>
            <w:lang w:val="bg-BG"/>
          </w:rPr>
          <w:t>http://eur-lex.europa.eu/legal-content/BG/TXT/HTML/?uri=CELEX:32014D0774&amp;from=EN</w:t>
        </w:r>
      </w:hyperlink>
      <w:r w:rsidR="00F058B7">
        <w:rPr>
          <w:i/>
          <w:lang w:val="bg-BG"/>
        </w:rPr>
        <w:t>.</w:t>
      </w:r>
    </w:p>
    <w:p w:rsidR="00A316C8" w:rsidRPr="00203314" w:rsidRDefault="00A316C8" w:rsidP="001255A9">
      <w:pPr>
        <w:spacing w:after="0"/>
        <w:jc w:val="both"/>
        <w:rPr>
          <w:lang w:val="bg-BG"/>
        </w:rPr>
      </w:pPr>
      <w:r w:rsidRPr="00A316C8">
        <w:rPr>
          <w:i/>
          <w:u w:val="single"/>
          <w:lang w:val="bg-BG"/>
        </w:rPr>
        <w:t xml:space="preserve">При предварителното пускане на пазара в ЕС на </w:t>
      </w:r>
      <w:r w:rsidRPr="00A316C8">
        <w:rPr>
          <w:i/>
          <w:u w:val="single"/>
        </w:rPr>
        <w:t>HFC</w:t>
      </w:r>
      <w:r w:rsidRPr="00A316C8">
        <w:rPr>
          <w:i/>
          <w:u w:val="single"/>
          <w:lang w:val="bg-BG"/>
        </w:rPr>
        <w:t>, след което същите са били изнесени извън ЕС и заредени в оборудването</w:t>
      </w:r>
      <w:r>
        <w:rPr>
          <w:lang w:val="bg-BG"/>
        </w:rPr>
        <w:t xml:space="preserve">, предприятието, пуснало на пазара </w:t>
      </w:r>
      <w:r>
        <w:t>HFC</w:t>
      </w:r>
      <w:r>
        <w:rPr>
          <w:lang w:val="bg-BG"/>
        </w:rPr>
        <w:t xml:space="preserve"> трябва да </w:t>
      </w:r>
      <w:r w:rsidR="004F5C7D">
        <w:rPr>
          <w:lang w:val="bg-BG"/>
        </w:rPr>
        <w:t xml:space="preserve">изготви </w:t>
      </w:r>
      <w:r>
        <w:rPr>
          <w:lang w:val="bg-BG"/>
        </w:rPr>
        <w:t>декларация</w:t>
      </w:r>
      <w:r w:rsidRPr="00A316C8">
        <w:rPr>
          <w:lang w:val="bg-BG"/>
        </w:rPr>
        <w:t xml:space="preserve">, заявявайки, че количеството </w:t>
      </w:r>
      <w:r>
        <w:t>HFC</w:t>
      </w:r>
      <w:r w:rsidRPr="00A316C8">
        <w:rPr>
          <w:lang w:val="bg-BG"/>
        </w:rPr>
        <w:t xml:space="preserve"> е било или ще бъде отчетено като пуснато на пазара в ЕС и то не е било или няма да бъде отчетено като директна доставка за износ по смисъла на член 15, параграф 2, буква в) от Регламент (ЕС) № 517/2014, в съответствие с член 19 от Регламент (ЕС) № 517/2014 и раздел 5C от приложението към Регламент за изпълнение (ЕС) № 1191/2014 на Комисията</w:t>
      </w:r>
      <w:r w:rsidR="00203314" w:rsidRPr="00203314">
        <w:rPr>
          <w:lang w:val="bg-BG"/>
        </w:rPr>
        <w:t>.</w:t>
      </w:r>
    </w:p>
    <w:p w:rsidR="00203314" w:rsidRPr="00EF4958" w:rsidRDefault="00203314" w:rsidP="001255A9">
      <w:pPr>
        <w:pBdr>
          <w:bottom w:val="single" w:sz="4" w:space="1" w:color="auto"/>
        </w:pBdr>
        <w:spacing w:after="0"/>
        <w:jc w:val="both"/>
        <w:rPr>
          <w:lang w:val="bg-BG"/>
        </w:rPr>
      </w:pPr>
    </w:p>
    <w:p w:rsidR="00203314" w:rsidRPr="00203314" w:rsidRDefault="00203314" w:rsidP="00203314">
      <w:pPr>
        <w:jc w:val="both"/>
        <w:rPr>
          <w:i/>
          <w:lang w:val="bg-BG"/>
        </w:rPr>
      </w:pPr>
      <w:r w:rsidRPr="00203314">
        <w:rPr>
          <w:i/>
          <w:lang w:val="bg-BG"/>
        </w:rPr>
        <w:t>Забележка: Регламент за изпълнение (ЕС) № 1191/2014 на Комисията от 30 октомври 2014 г. за определяне на формата и средствата за подаване на доклада по член 19 от Регламент (ЕС) № 517/2014 на Европейския парламент и на Съвета за флуорсъдържащите парникови газове (ОВ L 318, 5.11.2014 г., стр. 5).</w:t>
      </w:r>
    </w:p>
    <w:p w:rsidR="006515AB" w:rsidRDefault="004F2DAF" w:rsidP="00F072F7">
      <w:pPr>
        <w:spacing w:after="0"/>
        <w:jc w:val="both"/>
        <w:rPr>
          <w:bCs/>
          <w:i/>
          <w:lang w:val="bg-BG"/>
        </w:rPr>
      </w:pPr>
      <w:r>
        <w:rPr>
          <w:lang w:val="bg-BG"/>
        </w:rPr>
        <w:t xml:space="preserve">При внос на хладилно, климатично и термопомпено оборудване вносителите </w:t>
      </w:r>
      <w:r w:rsidR="008A1369">
        <w:rPr>
          <w:lang w:val="bg-BG"/>
        </w:rPr>
        <w:t>предоставят на митническите власти</w:t>
      </w:r>
      <w:r>
        <w:rPr>
          <w:lang w:val="bg-BG"/>
        </w:rPr>
        <w:t xml:space="preserve"> копие на </w:t>
      </w:r>
      <w:r w:rsidRPr="008A1369">
        <w:rPr>
          <w:b/>
          <w:lang w:val="bg-BG"/>
        </w:rPr>
        <w:t>декларация за съответствие по чл.14 от Регламент (ЕС) № 517/2014</w:t>
      </w:r>
      <w:r w:rsidR="00653CE8">
        <w:rPr>
          <w:b/>
          <w:lang w:val="bg-BG"/>
        </w:rPr>
        <w:t>,</w:t>
      </w:r>
      <w:r w:rsidR="008A1369">
        <w:rPr>
          <w:lang w:val="bg-BG"/>
        </w:rPr>
        <w:t xml:space="preserve"> едновременно с подаването на митническата декларация във връзка с допускането за свободно обращение в ЕС. Форматът на декларацията за съответствие е даден в </w:t>
      </w:r>
      <w:r w:rsidR="008A1369" w:rsidRPr="00F1053B">
        <w:rPr>
          <w:i/>
          <w:lang w:val="bg-BG"/>
        </w:rPr>
        <w:t xml:space="preserve">Приложение </w:t>
      </w:r>
      <w:r w:rsidR="008A1369" w:rsidRPr="00F1053B">
        <w:rPr>
          <w:i/>
        </w:rPr>
        <w:t>I</w:t>
      </w:r>
      <w:r w:rsidR="008A1369" w:rsidRPr="00F1053B">
        <w:rPr>
          <w:i/>
          <w:lang w:val="bg-BG"/>
        </w:rPr>
        <w:t xml:space="preserve"> </w:t>
      </w:r>
      <w:r w:rsidR="008A1369" w:rsidRPr="00F1053B">
        <w:rPr>
          <w:lang w:val="bg-BG"/>
        </w:rPr>
        <w:t xml:space="preserve">към </w:t>
      </w:r>
      <w:r w:rsidR="008A1369" w:rsidRPr="00F1053B">
        <w:rPr>
          <w:bCs/>
          <w:i/>
          <w:lang w:val="bg-BG"/>
        </w:rPr>
        <w:t>Р</w:t>
      </w:r>
      <w:r w:rsidR="00F1053B" w:rsidRPr="00F1053B">
        <w:rPr>
          <w:bCs/>
          <w:i/>
          <w:lang w:val="bg-BG"/>
        </w:rPr>
        <w:t xml:space="preserve">егламент за изпълнение </w:t>
      </w:r>
      <w:r w:rsidR="008A1369" w:rsidRPr="00F1053B">
        <w:rPr>
          <w:bCs/>
          <w:i/>
          <w:lang w:val="bg-BG"/>
        </w:rPr>
        <w:t xml:space="preserve">(ЕС) 2016/879 </w:t>
      </w:r>
      <w:r w:rsidR="00F1053B" w:rsidRPr="00F1053B">
        <w:rPr>
          <w:bCs/>
          <w:i/>
          <w:lang w:val="bg-BG"/>
        </w:rPr>
        <w:t xml:space="preserve">на </w:t>
      </w:r>
      <w:r w:rsidR="008A1369" w:rsidRPr="00F1053B">
        <w:rPr>
          <w:bCs/>
          <w:i/>
          <w:lang w:val="bg-BG"/>
        </w:rPr>
        <w:t>К</w:t>
      </w:r>
      <w:r w:rsidR="00F1053B" w:rsidRPr="00F1053B">
        <w:rPr>
          <w:bCs/>
          <w:i/>
          <w:lang w:val="bg-BG"/>
        </w:rPr>
        <w:t>омисията</w:t>
      </w:r>
      <w:r w:rsidR="008A1369" w:rsidRPr="00F1053B">
        <w:rPr>
          <w:bCs/>
          <w:i/>
          <w:lang w:val="bg-BG"/>
        </w:rPr>
        <w:t xml:space="preserve"> от 2 юни 2016 година за определяне, съгласно Регламент (ЕС) № 517/2014 на Европейския парламент и на Съвета, на подробни правила относно декларацията за съответствие и нейното проверяване от независим одитор при пускане на пазара на хладилно, климатично и термопомпено оборудване, заредено с флуоровъглеводороди</w:t>
      </w:r>
      <w:r w:rsidR="006515AB">
        <w:rPr>
          <w:bCs/>
          <w:i/>
          <w:lang w:val="bg-BG"/>
        </w:rPr>
        <w:t>:</w:t>
      </w:r>
    </w:p>
    <w:p w:rsidR="00203314" w:rsidRPr="006515AB" w:rsidRDefault="00E2258E" w:rsidP="00F072F7">
      <w:pPr>
        <w:jc w:val="both"/>
        <w:rPr>
          <w:bCs/>
          <w:i/>
          <w:lang w:val="bg-BG"/>
        </w:rPr>
      </w:pPr>
      <w:hyperlink r:id="rId10" w:history="1">
        <w:r w:rsidR="006515AB" w:rsidRPr="00861EF5">
          <w:rPr>
            <w:rStyle w:val="Hyperlink"/>
            <w:bCs/>
            <w:i/>
            <w:lang w:val="bg-BG"/>
          </w:rPr>
          <w:t>http://www5.moew.government.bg/?wpfb_dl=17081</w:t>
        </w:r>
      </w:hyperlink>
      <w:r w:rsidR="00F1053B" w:rsidRPr="006515AB">
        <w:rPr>
          <w:bCs/>
          <w:i/>
          <w:lang w:val="bg-BG"/>
        </w:rPr>
        <w:t>.</w:t>
      </w:r>
    </w:p>
    <w:p w:rsidR="001255A9" w:rsidRDefault="00653CE8" w:rsidP="00F072F7">
      <w:pPr>
        <w:jc w:val="both"/>
        <w:rPr>
          <w:lang w:val="bg-BG"/>
        </w:rPr>
      </w:pPr>
      <w:r>
        <w:rPr>
          <w:bCs/>
          <w:lang w:val="bg-BG"/>
        </w:rPr>
        <w:t>О</w:t>
      </w:r>
      <w:r w:rsidR="001255A9">
        <w:rPr>
          <w:bCs/>
          <w:lang w:val="bg-BG"/>
        </w:rPr>
        <w:t xml:space="preserve">т 1 януари 2017г., при внос на оборудване, предварително заредено с </w:t>
      </w:r>
      <w:r w:rsidR="001255A9">
        <w:rPr>
          <w:bCs/>
        </w:rPr>
        <w:t>HFC</w:t>
      </w:r>
      <w:r w:rsidR="006515AB">
        <w:rPr>
          <w:bCs/>
          <w:lang w:val="bg-BG"/>
        </w:rPr>
        <w:t xml:space="preserve">, се прилагат допълнителни изисквания по отношение на етикетирането му: съгласно </w:t>
      </w:r>
      <w:r w:rsidR="00B548C4">
        <w:rPr>
          <w:bCs/>
          <w:lang w:val="bg-BG"/>
        </w:rPr>
        <w:t xml:space="preserve">чл.12, §3 от </w:t>
      </w:r>
      <w:r w:rsidR="00B548C4" w:rsidRPr="00A316C8">
        <w:rPr>
          <w:lang w:val="bg-BG"/>
        </w:rPr>
        <w:t>Регламент (ЕС) № 517/2014</w:t>
      </w:r>
      <w:r>
        <w:rPr>
          <w:lang w:val="bg-BG"/>
        </w:rPr>
        <w:t>,</w:t>
      </w:r>
      <w:r w:rsidR="00B548C4">
        <w:rPr>
          <w:lang w:val="bg-BG"/>
        </w:rPr>
        <w:t xml:space="preserve"> е необходимо етикет</w:t>
      </w:r>
      <w:r w:rsidR="00341D1B">
        <w:rPr>
          <w:lang w:val="bg-BG"/>
        </w:rPr>
        <w:t>ът</w:t>
      </w:r>
      <w:r w:rsidR="00B548C4">
        <w:rPr>
          <w:lang w:val="bg-BG"/>
        </w:rPr>
        <w:t xml:space="preserve"> да съдържа количеството </w:t>
      </w:r>
      <w:r w:rsidR="00B548C4">
        <w:t>HFC</w:t>
      </w:r>
      <w:r w:rsidR="00B548C4">
        <w:rPr>
          <w:lang w:val="bg-BG"/>
        </w:rPr>
        <w:t xml:space="preserve">, изразено като </w:t>
      </w:r>
      <w:r w:rsidR="000F4444">
        <w:rPr>
          <w:lang w:val="bg-BG"/>
        </w:rPr>
        <w:t>маса</w:t>
      </w:r>
      <w:r w:rsidR="00E81239">
        <w:rPr>
          <w:lang w:val="bg-BG"/>
        </w:rPr>
        <w:t xml:space="preserve">, в </w:t>
      </w:r>
      <w:r w:rsidR="00E81239">
        <w:t>kg</w:t>
      </w:r>
      <w:r w:rsidR="00E81239" w:rsidRPr="00E81239">
        <w:rPr>
          <w:lang w:val="bg-BG"/>
        </w:rPr>
        <w:t>,</w:t>
      </w:r>
      <w:r w:rsidR="000F4444">
        <w:rPr>
          <w:lang w:val="bg-BG"/>
        </w:rPr>
        <w:t xml:space="preserve"> и в </w:t>
      </w:r>
      <w:r w:rsidR="000F4444">
        <w:t>t</w:t>
      </w:r>
      <w:r w:rsidR="000F4444" w:rsidRPr="000F4444">
        <w:rPr>
          <w:lang w:val="bg-BG"/>
        </w:rPr>
        <w:t xml:space="preserve"> </w:t>
      </w:r>
      <w:r w:rsidR="000F4444">
        <w:rPr>
          <w:lang w:val="bg-BG"/>
        </w:rPr>
        <w:t>еквивалент СО</w:t>
      </w:r>
      <w:r w:rsidR="000F4444" w:rsidRPr="00E81239">
        <w:rPr>
          <w:vertAlign w:val="subscript"/>
          <w:lang w:val="bg-BG"/>
        </w:rPr>
        <w:t>2</w:t>
      </w:r>
      <w:r w:rsidR="000F4444">
        <w:rPr>
          <w:lang w:val="bg-BG"/>
        </w:rPr>
        <w:t>, съдържащи се в оборудването, както и потенциала на глобално затопляне</w:t>
      </w:r>
      <w:r w:rsidR="00E81239" w:rsidRPr="00E81239">
        <w:rPr>
          <w:lang w:val="bg-BG"/>
        </w:rPr>
        <w:t xml:space="preserve"> </w:t>
      </w:r>
      <w:r w:rsidR="00E81239">
        <w:rPr>
          <w:lang w:val="bg-BG"/>
        </w:rPr>
        <w:t>на газа</w:t>
      </w:r>
      <w:r w:rsidR="000F4444">
        <w:rPr>
          <w:lang w:val="bg-BG"/>
        </w:rPr>
        <w:t>.</w:t>
      </w:r>
    </w:p>
    <w:p w:rsidR="004E0866" w:rsidRPr="008D34B6" w:rsidRDefault="008D34B6" w:rsidP="00F072F7">
      <w:pPr>
        <w:jc w:val="both"/>
        <w:rPr>
          <w:lang w:val="bg-BG"/>
        </w:rPr>
      </w:pPr>
      <w:r w:rsidRPr="008D34B6">
        <w:rPr>
          <w:b/>
          <w:lang w:val="bg-BG"/>
        </w:rPr>
        <w:t xml:space="preserve">ВАЖНО! </w:t>
      </w:r>
      <w:r w:rsidR="00E81239">
        <w:rPr>
          <w:lang w:val="bg-BG"/>
        </w:rPr>
        <w:t>Вносителите на хладилно</w:t>
      </w:r>
      <w:r>
        <w:rPr>
          <w:lang w:val="bg-BG"/>
        </w:rPr>
        <w:t xml:space="preserve">, климатично и термопомпено оборудване, предварително заредено с </w:t>
      </w:r>
      <w:r>
        <w:t>HFC</w:t>
      </w:r>
      <w:r>
        <w:rPr>
          <w:lang w:val="bg-BG"/>
        </w:rPr>
        <w:t xml:space="preserve">, трябва внимателно да се запознаят с всички приложими към тях изисквания на горецитирания </w:t>
      </w:r>
      <w:r w:rsidRPr="008D34B6">
        <w:rPr>
          <w:bCs/>
          <w:lang w:val="bg-BG"/>
        </w:rPr>
        <w:t>Регламент за изпълнение (ЕС) 2016/879</w:t>
      </w:r>
      <w:r>
        <w:rPr>
          <w:bCs/>
          <w:lang w:val="bg-BG"/>
        </w:rPr>
        <w:t xml:space="preserve"> и след вноса </w:t>
      </w:r>
      <w:r w:rsidR="004E0866">
        <w:rPr>
          <w:bCs/>
          <w:lang w:val="bg-BG"/>
        </w:rPr>
        <w:t>на оборудването (някои от изискванията влизат в сила от 1 януари 2018г.).</w:t>
      </w:r>
    </w:p>
    <w:sectPr w:rsidR="004E0866" w:rsidRPr="008D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8E" w:rsidRDefault="00E2258E" w:rsidP="000B2B2A">
      <w:pPr>
        <w:spacing w:after="0" w:line="240" w:lineRule="auto"/>
      </w:pPr>
      <w:r>
        <w:separator/>
      </w:r>
    </w:p>
  </w:endnote>
  <w:endnote w:type="continuationSeparator" w:id="0">
    <w:p w:rsidR="00E2258E" w:rsidRDefault="00E2258E" w:rsidP="000B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8E" w:rsidRDefault="00E2258E" w:rsidP="000B2B2A">
      <w:pPr>
        <w:spacing w:after="0" w:line="240" w:lineRule="auto"/>
      </w:pPr>
      <w:r>
        <w:separator/>
      </w:r>
    </w:p>
  </w:footnote>
  <w:footnote w:type="continuationSeparator" w:id="0">
    <w:p w:rsidR="00E2258E" w:rsidRDefault="00E2258E" w:rsidP="000B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5A4B"/>
    <w:multiLevelType w:val="hybridMultilevel"/>
    <w:tmpl w:val="8E70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1"/>
    <w:rsid w:val="000658E5"/>
    <w:rsid w:val="00065E37"/>
    <w:rsid w:val="000B2B2A"/>
    <w:rsid w:val="000D3350"/>
    <w:rsid w:val="000F4444"/>
    <w:rsid w:val="001255A9"/>
    <w:rsid w:val="00173339"/>
    <w:rsid w:val="001B775F"/>
    <w:rsid w:val="001C0AC5"/>
    <w:rsid w:val="001E2780"/>
    <w:rsid w:val="00203314"/>
    <w:rsid w:val="002B073D"/>
    <w:rsid w:val="002C1EF8"/>
    <w:rsid w:val="002C54FD"/>
    <w:rsid w:val="002E6C10"/>
    <w:rsid w:val="00341D1B"/>
    <w:rsid w:val="003B1B26"/>
    <w:rsid w:val="00443410"/>
    <w:rsid w:val="0049149A"/>
    <w:rsid w:val="004E0866"/>
    <w:rsid w:val="004F2DAF"/>
    <w:rsid w:val="004F5C7D"/>
    <w:rsid w:val="005872A2"/>
    <w:rsid w:val="006515AB"/>
    <w:rsid w:val="00653CE8"/>
    <w:rsid w:val="006E6F7D"/>
    <w:rsid w:val="00712D54"/>
    <w:rsid w:val="007265DF"/>
    <w:rsid w:val="00732259"/>
    <w:rsid w:val="00874A16"/>
    <w:rsid w:val="008A1369"/>
    <w:rsid w:val="008D34B6"/>
    <w:rsid w:val="009127CE"/>
    <w:rsid w:val="009404AB"/>
    <w:rsid w:val="00965168"/>
    <w:rsid w:val="00A15DCD"/>
    <w:rsid w:val="00A316C8"/>
    <w:rsid w:val="00B548C4"/>
    <w:rsid w:val="00B607F3"/>
    <w:rsid w:val="00B65BCA"/>
    <w:rsid w:val="00C370A0"/>
    <w:rsid w:val="00C87E23"/>
    <w:rsid w:val="00CB086B"/>
    <w:rsid w:val="00DF77F4"/>
    <w:rsid w:val="00E2258E"/>
    <w:rsid w:val="00E81239"/>
    <w:rsid w:val="00EA2C61"/>
    <w:rsid w:val="00EF3FE1"/>
    <w:rsid w:val="00EF4958"/>
    <w:rsid w:val="00F058B7"/>
    <w:rsid w:val="00F072F7"/>
    <w:rsid w:val="00F1053B"/>
    <w:rsid w:val="00F15D6C"/>
    <w:rsid w:val="00F5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B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B2A"/>
  </w:style>
  <w:style w:type="paragraph" w:styleId="Footer">
    <w:name w:val="footer"/>
    <w:basedOn w:val="Normal"/>
    <w:link w:val="FooterChar"/>
    <w:uiPriority w:val="99"/>
    <w:unhideWhenUsed/>
    <w:rsid w:val="000B2B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B2A"/>
  </w:style>
  <w:style w:type="paragraph" w:styleId="ListParagraph">
    <w:name w:val="List Paragraph"/>
    <w:basedOn w:val="Normal"/>
    <w:uiPriority w:val="34"/>
    <w:qFormat/>
    <w:rsid w:val="001E2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D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B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B2A"/>
  </w:style>
  <w:style w:type="paragraph" w:styleId="Footer">
    <w:name w:val="footer"/>
    <w:basedOn w:val="Normal"/>
    <w:link w:val="FooterChar"/>
    <w:uiPriority w:val="99"/>
    <w:unhideWhenUsed/>
    <w:rsid w:val="000B2B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B2A"/>
  </w:style>
  <w:style w:type="paragraph" w:styleId="ListParagraph">
    <w:name w:val="List Paragraph"/>
    <w:basedOn w:val="Normal"/>
    <w:uiPriority w:val="34"/>
    <w:qFormat/>
    <w:rsid w:val="001E2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D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5.moew.government.bg/?wpfb_dl=170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BG/TXT/HTML/?uri=CELEX:32014D0774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1368-B5CA-4838-9557-9D97A387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DStoyanova</dc:creator>
  <cp:lastModifiedBy>DStoyanova</cp:lastModifiedBy>
  <cp:revision>3</cp:revision>
  <dcterms:created xsi:type="dcterms:W3CDTF">2017-02-24T09:21:00Z</dcterms:created>
  <dcterms:modified xsi:type="dcterms:W3CDTF">2017-02-24T09:22:00Z</dcterms:modified>
</cp:coreProperties>
</file>