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CB6F75" w:rsidRPr="00757D1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007062" w:rsidRPr="00757D11">
        <w:rPr>
          <w:b/>
          <w:i/>
          <w:sz w:val="32"/>
          <w:szCs w:val="32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8331C8">
        <w:rPr>
          <w:b/>
          <w:i/>
          <w:sz w:val="32"/>
          <w:szCs w:val="32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07062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007062"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8331C8">
        <w:rPr>
          <w:b/>
          <w:i/>
          <w:sz w:val="32"/>
          <w:szCs w:val="32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м. октомври 201</w:t>
      </w:r>
      <w:r w:rsidR="008331C8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01.04.201</w:t>
      </w:r>
      <w:r w:rsidR="003D60A8">
        <w:rPr>
          <w:rFonts w:ascii="Verdana" w:hAnsi="Verdana"/>
          <w:b w:val="0"/>
          <w:sz w:val="20"/>
          <w:lang w:val="en-US"/>
        </w:rPr>
        <w:t>7</w:t>
      </w:r>
      <w:r w:rsidRPr="006257C9">
        <w:rPr>
          <w:rFonts w:ascii="Verdana" w:hAnsi="Verdana"/>
          <w:b w:val="0"/>
          <w:sz w:val="20"/>
        </w:rPr>
        <w:t xml:space="preserve"> ÷ 30.09.201</w:t>
      </w:r>
      <w:r w:rsidR="003D60A8">
        <w:rPr>
          <w:rFonts w:ascii="Verdana" w:hAnsi="Verdana"/>
          <w:b w:val="0"/>
          <w:sz w:val="20"/>
          <w:lang w:val="en-US"/>
        </w:rPr>
        <w:t>7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07062" w:rsidRPr="00F47D8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007062" w:rsidRPr="00F47D8F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.201</w:t>
      </w:r>
      <w:r w:rsidR="008331C8">
        <w:rPr>
          <w:rFonts w:ascii="Verdana" w:hAnsi="Verdana"/>
          <w:b/>
          <w:i/>
        </w:rPr>
        <w:t>7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07062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007062" w:rsidRPr="00F47D8F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.201</w:t>
      </w:r>
      <w:r w:rsidR="008331C8">
        <w:rPr>
          <w:rFonts w:ascii="Verdana" w:hAnsi="Verdana"/>
          <w:b/>
          <w:i/>
        </w:rPr>
        <w:t>7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07062" w:rsidRPr="00F47D8F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 </w:t>
      </w:r>
      <w:r w:rsidR="00007062"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2,5 микрона (ФПЧ</w:t>
      </w:r>
      <w:r w:rsidRPr="00F47D8F">
        <w:rPr>
          <w:rFonts w:ascii="Verdana" w:hAnsi="Verdana"/>
          <w:vertAlign w:val="subscript"/>
          <w:lang w:val="bg-BG"/>
        </w:rPr>
        <w:t>2,5</w:t>
      </w:r>
      <w:r w:rsidRPr="00F47D8F">
        <w:rPr>
          <w:rFonts w:ascii="Verdana" w:hAnsi="Verdana"/>
          <w:lang w:val="bg-BG"/>
        </w:rPr>
        <w:t>)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През периода на докладване с повишение на температурите се преустановява използването на локални отоплителни системи,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 xml:space="preserve">. С повишение на температурите и липсата на валежи се създават условия за лесно </w:t>
      </w:r>
      <w:proofErr w:type="spellStart"/>
      <w:r w:rsidRPr="00F47D8F">
        <w:rPr>
          <w:rFonts w:ascii="Verdana" w:hAnsi="Verdana"/>
          <w:lang w:val="bg-BG"/>
        </w:rPr>
        <w:t>разпрашаване</w:t>
      </w:r>
      <w:proofErr w:type="spellEnd"/>
      <w:r w:rsidRPr="00F47D8F">
        <w:rPr>
          <w:rFonts w:ascii="Verdana" w:hAnsi="Verdana"/>
          <w:lang w:val="bg-BG"/>
        </w:rPr>
        <w:t xml:space="preserve"> на повърхностно отложени прахообразни вещества. Възможността за вторичен </w:t>
      </w:r>
      <w:proofErr w:type="spellStart"/>
      <w:r w:rsidRPr="00F47D8F">
        <w:rPr>
          <w:rFonts w:ascii="Verdana" w:hAnsi="Verdana"/>
          <w:lang w:val="bg-BG"/>
        </w:rPr>
        <w:t>унос</w:t>
      </w:r>
      <w:proofErr w:type="spellEnd"/>
      <w:r w:rsidRPr="00F47D8F">
        <w:rPr>
          <w:rFonts w:ascii="Verdana" w:hAnsi="Verdana"/>
          <w:lang w:val="bg-BG"/>
        </w:rPr>
        <w:t xml:space="preserve"> и </w:t>
      </w:r>
      <w:proofErr w:type="spellStart"/>
      <w:r w:rsidRPr="00F47D8F">
        <w:rPr>
          <w:rFonts w:ascii="Verdana" w:hAnsi="Verdana"/>
          <w:lang w:val="bg-BG"/>
        </w:rPr>
        <w:t>последваща</w:t>
      </w:r>
      <w:proofErr w:type="spellEnd"/>
      <w:r w:rsidRPr="00F47D8F">
        <w:rPr>
          <w:rFonts w:ascii="Verdana" w:hAnsi="Verdana"/>
          <w:lang w:val="bg-BG"/>
        </w:rPr>
        <w:t xml:space="preserve"> дисперсия се увеличава. Създават се условия за пренос на прахообразни вещества на значително по-големи разстояния.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07062" w:rsidRPr="00F47D8F" w:rsidRDefault="00007062" w:rsidP="00007062">
      <w:pPr>
        <w:pStyle w:val="a6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1D74DE" w:rsidRPr="00F47D8F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Най-съществено влияние върху КАВ, по отношение на фините </w:t>
      </w:r>
      <w:proofErr w:type="spellStart"/>
      <w:r w:rsidR="001D74DE" w:rsidRPr="00F47D8F">
        <w:rPr>
          <w:rFonts w:ascii="Verdana" w:hAnsi="Verdana"/>
          <w:sz w:val="20"/>
        </w:rPr>
        <w:t>прахови</w:t>
      </w:r>
      <w:proofErr w:type="spellEnd"/>
      <w:r w:rsidR="001D74DE" w:rsidRPr="00F47D8F">
        <w:rPr>
          <w:rFonts w:ascii="Verdana" w:hAnsi="Verdana"/>
          <w:sz w:val="20"/>
        </w:rPr>
        <w:t xml:space="preserve"> частици през </w:t>
      </w:r>
      <w:r w:rsidR="00065EE6">
        <w:rPr>
          <w:rFonts w:ascii="Verdana" w:hAnsi="Verdana"/>
          <w:sz w:val="20"/>
        </w:rPr>
        <w:t>летните</w:t>
      </w:r>
      <w:r w:rsidR="001D74DE" w:rsidRPr="00F47D8F">
        <w:rPr>
          <w:rFonts w:ascii="Verdana" w:hAnsi="Verdana"/>
          <w:sz w:val="20"/>
        </w:rPr>
        <w:t xml:space="preserve"> месеци, оказва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lastRenderedPageBreak/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3F0B10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lang w:val="bg-BG"/>
              </w:rPr>
              <w:t>ФПЧ</w:t>
            </w:r>
            <w:r>
              <w:rPr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8331C8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</w:t>
            </w:r>
            <w:r w:rsidRPr="002F7879">
              <w:rPr>
                <w:b/>
                <w:vertAlign w:val="subscript"/>
                <w:lang w:val="bg-BG"/>
              </w:rPr>
              <w:t>10</w:t>
            </w:r>
            <w:r>
              <w:rPr>
                <w:b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</w:t>
            </w:r>
            <w:r w:rsidRPr="002F7879">
              <w:rPr>
                <w:b/>
                <w:vertAlign w:val="subscript"/>
                <w:lang w:val="bg-BG"/>
              </w:rPr>
              <w:t>10</w:t>
            </w:r>
            <w:r>
              <w:rPr>
                <w:b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</w:t>
            </w:r>
            <w:r w:rsidRPr="002F7879">
              <w:rPr>
                <w:b/>
                <w:vertAlign w:val="subscript"/>
                <w:lang w:val="bg-BG"/>
              </w:rPr>
              <w:t>2,5</w:t>
            </w:r>
            <w:r>
              <w:rPr>
                <w:b/>
                <w:lang w:val="bg-BG"/>
              </w:rPr>
              <w:t>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51683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>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51683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8331C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Pr="0051683D" w:rsidRDefault="0051683D" w:rsidP="0031236A">
      <w:pPr>
        <w:rPr>
          <w:lang w:val="bg-BG"/>
        </w:rPr>
      </w:pPr>
      <w:r>
        <w:rPr>
          <w:lang w:val="bg-BG"/>
        </w:rPr>
        <w:t>Забележка</w:t>
      </w:r>
      <w:r w:rsidR="002F7879">
        <w:rPr>
          <w:lang w:val="bg-BG"/>
        </w:rPr>
        <w:t xml:space="preserve">- </w:t>
      </w:r>
      <w:r>
        <w:rPr>
          <w:lang w:val="bg-BG"/>
        </w:rPr>
        <w:t xml:space="preserve"> </w:t>
      </w:r>
      <w:r w:rsidR="002F7879" w:rsidRPr="00CF46F7">
        <w:rPr>
          <w:sz w:val="22"/>
          <w:szCs w:val="22"/>
        </w:rPr>
        <w:t>(*)</w:t>
      </w:r>
      <w:r w:rsidR="002F7879">
        <w:rPr>
          <w:sz w:val="22"/>
          <w:szCs w:val="22"/>
        </w:rPr>
        <w:t xml:space="preserve"> </w:t>
      </w:r>
      <w:r w:rsidR="002F7879">
        <w:rPr>
          <w:sz w:val="22"/>
          <w:szCs w:val="22"/>
          <w:lang w:val="bg-BG"/>
        </w:rPr>
        <w:t>г</w:t>
      </w:r>
      <w:r>
        <w:rPr>
          <w:lang w:val="bg-BG"/>
        </w:rPr>
        <w:t>орният и долният оценъчен праг за ФПЧ</w:t>
      </w:r>
      <w:r>
        <w:rPr>
          <w:vertAlign w:val="subscript"/>
          <w:lang w:val="bg-BG"/>
        </w:rPr>
        <w:t>2,5</w:t>
      </w:r>
      <w:r>
        <w:rPr>
          <w:lang w:val="bg-BG"/>
        </w:rPr>
        <w:t xml:space="preserve"> не се прилагат за измерванията за оценяване на съответствието с целта за ограничаване на експозицията на ФПЧ</w:t>
      </w:r>
      <w:r>
        <w:rPr>
          <w:vertAlign w:val="subscript"/>
          <w:lang w:val="bg-BG"/>
        </w:rPr>
        <w:t>2,5</w:t>
      </w:r>
      <w:r>
        <w:rPr>
          <w:lang w:val="bg-BG"/>
        </w:rPr>
        <w:t xml:space="preserve"> за опазване на човешкото здраве.</w:t>
      </w: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Pr="00F47D8F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експлоатацията на пункт Асеновград </w:t>
      </w: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14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2F7879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АИС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8331C8">
              <w:rPr>
                <w:rFonts w:ascii="Verdana" w:hAnsi="Verdana"/>
                <w:sz w:val="20"/>
              </w:rPr>
              <w:t>7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 и активните строителни дейности, характерни за летен период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Default="002F7879" w:rsidP="007E0295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АИС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r w:rsidR="007E0295">
              <w:rPr>
                <w:rFonts w:ascii="Verdana" w:hAnsi="Verdana"/>
                <w:sz w:val="20"/>
                <w:lang w:val="bg-BG"/>
              </w:rPr>
              <w:t>Тракия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</w:p>
          <w:p w:rsidR="007E0295" w:rsidRPr="007E0295" w:rsidRDefault="007E0295" w:rsidP="007E0295">
            <w:pPr>
              <w:pStyle w:val="a6"/>
              <w:ind w:left="426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(</w:t>
            </w:r>
            <w:r w:rsidR="002F7879">
              <w:rPr>
                <w:rFonts w:ascii="Verdana" w:hAnsi="Verdana"/>
                <w:sz w:val="20"/>
                <w:lang w:val="bg-BG"/>
              </w:rPr>
              <w:t>АИС „</w:t>
            </w:r>
            <w:r>
              <w:rPr>
                <w:rFonts w:ascii="Verdana" w:hAnsi="Verdana"/>
                <w:sz w:val="20"/>
                <w:lang w:val="bg-BG"/>
              </w:rPr>
              <w:t>Баня Старинна</w:t>
            </w:r>
            <w:r w:rsidR="002F7879">
              <w:rPr>
                <w:rFonts w:ascii="Verdana" w:hAnsi="Verdana"/>
                <w:sz w:val="20"/>
                <w:lang w:val="bg-BG"/>
              </w:rPr>
              <w:t>“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</w:t>
            </w:r>
            <w:r w:rsidR="007E0295">
              <w:rPr>
                <w:rFonts w:ascii="Verdana" w:hAnsi="Verdana"/>
                <w:sz w:val="20"/>
                <w:lang w:val="bg-BG"/>
              </w:rPr>
              <w:t>в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зона с натоварен автомобилен трафик. Наблюдаваното замърсяване се формира предимно от тра</w:t>
            </w:r>
            <w:r w:rsidR="00007062">
              <w:rPr>
                <w:rFonts w:ascii="Verdana" w:hAnsi="Verdana"/>
                <w:sz w:val="20"/>
                <w:lang w:val="bg-BG"/>
              </w:rPr>
              <w:t>нспорта, индустриални дейности и активните строителни дейности през периода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7E0295" w:rsidRDefault="00987A98" w:rsidP="007E0295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C451E1" w:rsidRPr="00C451E1">
              <w:rPr>
                <w:rFonts w:ascii="Verdana" w:hAnsi="Verdana"/>
                <w:sz w:val="20"/>
              </w:rPr>
              <w:t>12</w:t>
            </w:r>
            <w:r w:rsidR="00007062" w:rsidRPr="00C451E1">
              <w:rPr>
                <w:rFonts w:ascii="Verdana" w:hAnsi="Verdana"/>
                <w:sz w:val="20"/>
                <w:lang w:val="bg-BG"/>
              </w:rPr>
              <w:t>.0</w:t>
            </w:r>
            <w:r w:rsidR="007E0295" w:rsidRPr="00C451E1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7E0295">
              <w:rPr>
                <w:rFonts w:ascii="Verdana" w:hAnsi="Verdana"/>
                <w:sz w:val="20"/>
                <w:lang w:val="bg-BG"/>
              </w:rPr>
              <w:t>1</w:t>
            </w:r>
            <w:r w:rsidR="00C451E1">
              <w:rPr>
                <w:rFonts w:ascii="Verdana" w:hAnsi="Verdana"/>
                <w:sz w:val="20"/>
              </w:rPr>
              <w:t>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7E0295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2F7879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lastRenderedPageBreak/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извършва денонощно (без почивните/празнични дни).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през отчетния период</w:t>
            </w:r>
            <w:r w:rsidR="002F7879">
              <w:rPr>
                <w:rFonts w:ascii="Verdana" w:hAnsi="Verdana"/>
                <w:sz w:val="20"/>
                <w:lang w:val="bg-BG"/>
              </w:rPr>
              <w:t xml:space="preserve"> –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2F7879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л</w:t>
            </w:r>
            <w:r w:rsidR="002F7879">
              <w:rPr>
                <w:rFonts w:ascii="Verdana" w:hAnsi="Verdana"/>
                <w:sz w:val="20"/>
                <w:lang w:val="bg-BG"/>
              </w:rPr>
              <w:t>етен“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)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2F7879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</w:t>
      </w:r>
      <w:r w:rsidR="00CB6F75" w:rsidRPr="002F7879">
        <w:rPr>
          <w:rFonts w:ascii="Verdana" w:hAnsi="Verdana"/>
          <w:i/>
          <w:sz w:val="20"/>
          <w:vertAlign w:val="subscript"/>
        </w:rPr>
        <w:t>10</w:t>
      </w:r>
      <w:r w:rsidR="00CB6F75" w:rsidRPr="004C285D">
        <w:rPr>
          <w:rFonts w:ascii="Verdana" w:hAnsi="Verdana"/>
          <w:i/>
          <w:sz w:val="20"/>
        </w:rPr>
        <w:t xml:space="preserve"> и ФПЧ</w:t>
      </w:r>
      <w:r w:rsidR="00CB6F75" w:rsidRPr="002F7879">
        <w:rPr>
          <w:rFonts w:ascii="Verdana" w:hAnsi="Verdana"/>
          <w:i/>
          <w:sz w:val="20"/>
          <w:vertAlign w:val="subscript"/>
        </w:rPr>
        <w:t xml:space="preserve">2,5 </w:t>
      </w:r>
      <w:r w:rsidR="00CB6F75" w:rsidRPr="004C285D">
        <w:rPr>
          <w:rFonts w:ascii="Verdana" w:hAnsi="Verdana"/>
          <w:i/>
          <w:sz w:val="20"/>
        </w:rPr>
        <w:t>в периода от 01.04.201</w:t>
      </w:r>
      <w:r w:rsidR="008331C8">
        <w:rPr>
          <w:rFonts w:ascii="Verdana" w:hAnsi="Verdana"/>
          <w:i/>
          <w:sz w:val="20"/>
          <w:lang w:val="en-US"/>
        </w:rPr>
        <w:t>7</w:t>
      </w:r>
      <w:r w:rsidR="00CB6F75" w:rsidRPr="004C285D">
        <w:rPr>
          <w:rFonts w:ascii="Verdana" w:hAnsi="Verdana"/>
          <w:i/>
          <w:sz w:val="20"/>
        </w:rPr>
        <w:t xml:space="preserve"> ÷ 30.09.201</w:t>
      </w:r>
      <w:r w:rsidR="008331C8">
        <w:rPr>
          <w:rFonts w:ascii="Verdana" w:hAnsi="Verdana"/>
          <w:i/>
          <w:sz w:val="20"/>
          <w:lang w:val="en-US"/>
        </w:rPr>
        <w:t>7</w:t>
      </w:r>
      <w:r w:rsidR="007E0295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</w:t>
      </w:r>
      <w:proofErr w:type="spellStart"/>
      <w:r w:rsidRPr="004C285D">
        <w:rPr>
          <w:rFonts w:ascii="Verdana" w:hAnsi="Verdana"/>
          <w:lang w:val="bg-BG"/>
        </w:rPr>
        <w:t>пробонабиране</w:t>
      </w:r>
      <w:proofErr w:type="spellEnd"/>
      <w:r w:rsidRPr="004C285D">
        <w:rPr>
          <w:rFonts w:ascii="Verdana" w:hAnsi="Verdana"/>
          <w:lang w:val="bg-BG"/>
        </w:rPr>
        <w:t xml:space="preserve">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.201</w:t>
      </w:r>
      <w:r w:rsidR="008331C8">
        <w:rPr>
          <w:rFonts w:ascii="Verdana" w:hAnsi="Verdana"/>
          <w:b/>
          <w:i/>
        </w:rPr>
        <w:t>7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1D6460" w:rsidRPr="004C285D">
        <w:rPr>
          <w:rFonts w:ascii="Verdana" w:hAnsi="Verdana"/>
          <w:b/>
          <w:i/>
          <w:lang w:val="bg-BG"/>
        </w:rPr>
        <w:t>0.09</w:t>
      </w:r>
      <w:r w:rsidRPr="004C285D">
        <w:rPr>
          <w:rFonts w:ascii="Verdana" w:hAnsi="Verdana"/>
          <w:b/>
          <w:i/>
          <w:lang w:val="bg-BG"/>
        </w:rPr>
        <w:t>.201</w:t>
      </w:r>
      <w:r w:rsidR="008331C8">
        <w:rPr>
          <w:rFonts w:ascii="Verdana" w:hAnsi="Verdana"/>
          <w:b/>
          <w:i/>
        </w:rPr>
        <w:t>7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7E0295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Pr="004C285D" w:rsidRDefault="0031236A" w:rsidP="0031236A">
      <w:pPr>
        <w:rPr>
          <w:rFonts w:ascii="Verdana" w:hAnsi="Verdana"/>
          <w:b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</w:t>
      </w:r>
      <w:proofErr w:type="spellStart"/>
      <w:r w:rsidRPr="004C285D">
        <w:rPr>
          <w:rFonts w:ascii="Verdana" w:hAnsi="Verdana"/>
          <w:lang w:val="bg-BG"/>
        </w:rPr>
        <w:t>средноденонощните</w:t>
      </w:r>
      <w:proofErr w:type="spellEnd"/>
      <w:r w:rsidRPr="004C285D">
        <w:rPr>
          <w:rFonts w:ascii="Verdana" w:hAnsi="Verdana"/>
          <w:lang w:val="bg-BG"/>
        </w:rPr>
        <w:t xml:space="preserve">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506926021"/>
    <w:bookmarkStart w:id="1" w:name="_MON_1506926158"/>
    <w:bookmarkStart w:id="2" w:name="_MON_1506926897"/>
    <w:bookmarkStart w:id="3" w:name="_MON_1506927775"/>
    <w:bookmarkStart w:id="4" w:name="_MON_1506927821"/>
    <w:bookmarkStart w:id="5" w:name="_MON_1506927891"/>
    <w:bookmarkStart w:id="6" w:name="_MON_1506927943"/>
    <w:bookmarkStart w:id="7" w:name="_MON_1506928007"/>
    <w:bookmarkStart w:id="8" w:name="_MON_1506928063"/>
    <w:bookmarkStart w:id="9" w:name="_MON_1506928086"/>
    <w:bookmarkStart w:id="10" w:name="_MON_1506928098"/>
    <w:bookmarkStart w:id="11" w:name="_MON_1506928139"/>
    <w:bookmarkStart w:id="12" w:name="_MON_1506928192"/>
    <w:bookmarkStart w:id="13" w:name="_MON_1506928301"/>
    <w:bookmarkStart w:id="14" w:name="_MON_1506928425"/>
    <w:bookmarkStart w:id="15" w:name="_MON_1506928713"/>
    <w:bookmarkStart w:id="16" w:name="_MON_150692891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506929301"/>
    <w:bookmarkEnd w:id="17"/>
    <w:p w:rsidR="0000785A" w:rsidRDefault="0096089D" w:rsidP="003D60A8">
      <w:pPr>
        <w:tabs>
          <w:tab w:val="left" w:pos="4536"/>
        </w:tabs>
        <w:rPr>
          <w:sz w:val="28"/>
        </w:rPr>
      </w:pPr>
      <w:r w:rsidRPr="003D0584">
        <w:rPr>
          <w:sz w:val="28"/>
        </w:rPr>
        <w:object w:dxaOrig="15035" w:dyaOrig="9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21.5pt" o:ole="">
            <v:imagedata r:id="rId11" o:title=""/>
          </v:shape>
          <o:OLEObject Type="Embed" ProgID="Excel.Sheet.8" ShapeID="_x0000_i1025" DrawAspect="Content" ObjectID="_1570867833" r:id="rId12"/>
        </w:object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Default="003D1447" w:rsidP="003D1447">
      <w:p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1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</w:t>
      </w:r>
      <w:r w:rsidR="00987A98" w:rsidRPr="002F7879">
        <w:rPr>
          <w:rFonts w:ascii="Verdana" w:hAnsi="Verdana"/>
          <w:vertAlign w:val="subscript"/>
          <w:lang w:val="bg-BG"/>
        </w:rPr>
        <w:t>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722E86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01.0</w:t>
      </w:r>
      <w:r w:rsidR="00D64270" w:rsidRPr="006257C9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.201</w:t>
      </w:r>
      <w:r w:rsidR="008331C8">
        <w:rPr>
          <w:rFonts w:ascii="Verdana" w:hAnsi="Verdana"/>
        </w:rPr>
        <w:t>7</w:t>
      </w:r>
      <w:r w:rsidR="00B72B12" w:rsidRPr="006257C9">
        <w:rPr>
          <w:rFonts w:ascii="Verdana" w:hAnsi="Verdana"/>
          <w:lang w:val="bg-BG"/>
        </w:rPr>
        <w:t xml:space="preserve"> – 3</w:t>
      </w:r>
      <w:r w:rsidR="00D64270" w:rsidRPr="006257C9">
        <w:rPr>
          <w:rFonts w:ascii="Verdana" w:hAnsi="Verdana"/>
          <w:lang w:val="bg-BG"/>
        </w:rPr>
        <w:t>0.09</w:t>
      </w:r>
      <w:r w:rsidR="00B72B12" w:rsidRPr="006257C9">
        <w:rPr>
          <w:rFonts w:ascii="Verdana" w:hAnsi="Verdana"/>
          <w:lang w:val="bg-BG"/>
        </w:rPr>
        <w:t>.201</w:t>
      </w:r>
      <w:r w:rsidR="008331C8">
        <w:rPr>
          <w:rFonts w:ascii="Verdana" w:hAnsi="Verdana"/>
        </w:rPr>
        <w:t>7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722E86" w:rsidRDefault="00722E86" w:rsidP="003D1447">
      <w:pPr>
        <w:rPr>
          <w:rFonts w:ascii="Verdana" w:hAnsi="Verdana"/>
          <w:lang w:val="bg-BG"/>
        </w:rPr>
      </w:pPr>
      <w:r>
        <w:rPr>
          <w:noProof/>
          <w:lang w:val="bg-BG"/>
        </w:rPr>
        <w:drawing>
          <wp:inline distT="0" distB="0" distL="0" distR="0" wp14:anchorId="533F33E9" wp14:editId="287DDBB1">
            <wp:extent cx="6096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722E86" w:rsidRPr="006257C9" w:rsidRDefault="00722E86" w:rsidP="003D1447">
      <w:pPr>
        <w:rPr>
          <w:rFonts w:ascii="Verdana" w:hAnsi="Verdana"/>
          <w:lang w:val="bg-BG"/>
        </w:rPr>
      </w:pPr>
    </w:p>
    <w:p w:rsidR="001E08FA" w:rsidRPr="006257C9" w:rsidRDefault="001E08FA" w:rsidP="001E08FA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2F7879">
        <w:rPr>
          <w:rFonts w:ascii="Verdana" w:hAnsi="Verdana"/>
          <w:b/>
          <w:vertAlign w:val="subscript"/>
          <w:lang w:val="bg-BG"/>
        </w:rPr>
        <w:t>2,5</w:t>
      </w:r>
    </w:p>
    <w:p w:rsidR="00E82ADD" w:rsidRPr="00195C26" w:rsidRDefault="002D6E15" w:rsidP="007C5ABB">
      <w:pPr>
        <w:ind w:left="7920" w:firstLine="720"/>
        <w:rPr>
          <w:rFonts w:ascii="Vrinda" w:hAnsi="Vrinda" w:cs="Vrinda"/>
          <w:vertAlign w:val="subscript"/>
        </w:rPr>
      </w:pPr>
      <w:r w:rsidRPr="00195C26">
        <w:rPr>
          <w:rFonts w:ascii="Vrinda" w:hAnsi="Vrinda" w:cs="Vrinda"/>
          <w:sz w:val="28"/>
          <w:vertAlign w:val="subscript"/>
          <w:lang w:val="bg-BG"/>
        </w:rPr>
        <w:t xml:space="preserve">                                        </w:t>
      </w:r>
      <w:r w:rsidR="00195C26"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810"/>
        <w:gridCol w:w="900"/>
        <w:gridCol w:w="930"/>
        <w:gridCol w:w="1134"/>
        <w:gridCol w:w="992"/>
        <w:gridCol w:w="1134"/>
      </w:tblGrid>
      <w:tr w:rsidR="00E325F4" w:rsidRPr="006257C9" w:rsidTr="0003660A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03660A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4076B2" w:rsidRDefault="0000785A" w:rsidP="004076B2">
            <w:pPr>
              <w:rPr>
                <w:b/>
              </w:rPr>
            </w:pPr>
            <w:r w:rsidRPr="006257C9">
              <w:rPr>
                <w:b/>
                <w:lang w:val="bg-BG"/>
              </w:rPr>
              <w:t xml:space="preserve">Лято </w:t>
            </w:r>
            <w:r w:rsidR="00E60D47" w:rsidRPr="006257C9">
              <w:rPr>
                <w:b/>
                <w:lang w:val="bg-BG"/>
              </w:rPr>
              <w:t>201</w:t>
            </w:r>
            <w:r w:rsidR="004076B2">
              <w:rPr>
                <w:b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 xml:space="preserve">01. – </w:t>
            </w:r>
            <w:r w:rsidR="0000785A" w:rsidRPr="006257C9">
              <w:rPr>
                <w:lang w:val="bg-BG"/>
              </w:rPr>
              <w:t>31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 xml:space="preserve">ФПЧ </w:t>
            </w:r>
            <w:r w:rsidRPr="002F7879">
              <w:rPr>
                <w:b/>
                <w:bCs/>
                <w:vertAlign w:val="subscript"/>
                <w:lang w:val="bg-BG"/>
              </w:rPr>
              <w:t>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юли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септември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3C16DC" w:rsidRDefault="00E325F4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00785A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E325F4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96089D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722E86" w:rsidP="00722E8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9630A0" w:rsidP="0000785A">
            <w:pPr>
              <w:jc w:val="right"/>
              <w:rPr>
                <w:lang w:val="bg-BG"/>
              </w:rPr>
            </w:pPr>
            <w:r w:rsidRPr="003C16DC"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722E8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722E86" w:rsidRDefault="005D7BED" w:rsidP="00722E86">
            <w:pPr>
              <w:jc w:val="right"/>
              <w:rPr>
                <w:lang w:val="bg-BG"/>
              </w:rPr>
            </w:pPr>
            <w:r w:rsidRPr="003C16DC">
              <w:t>1</w:t>
            </w:r>
            <w:r w:rsidR="00722E86">
              <w:rPr>
                <w:lang w:val="bg-BG"/>
              </w:rPr>
              <w:t>83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E3495" w:rsidP="00F93107">
            <w:pPr>
              <w:jc w:val="right"/>
              <w:rPr>
                <w:lang w:val="bg-BG"/>
              </w:rPr>
            </w:pPr>
          </w:p>
          <w:p w:rsidR="008E3495" w:rsidRPr="006257C9" w:rsidRDefault="00722E86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9630A0" w:rsidP="00E325F4">
            <w:pPr>
              <w:jc w:val="right"/>
            </w:pPr>
            <w:r w:rsidRPr="006257C9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722E86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96089D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5502A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5502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5502A">
              <w:rPr>
                <w:lang w:val="bg-BG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E5502A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5502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5502A">
              <w:rPr>
                <w:lang w:val="bg-BG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5502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5502A">
              <w:rPr>
                <w:lang w:val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8B5BF7" w:rsidP="00E325F4">
            <w:pPr>
              <w:jc w:val="right"/>
            </w:pPr>
            <w: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8B5BF7" w:rsidP="00722E86">
            <w:pPr>
              <w:jc w:val="right"/>
            </w:pPr>
            <w:r>
              <w:t>28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96089D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96089D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96089D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80CE1" w:rsidRPr="006257C9" w:rsidRDefault="00722E86" w:rsidP="0096089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</w:t>
            </w:r>
            <w:r w:rsidR="0096089D">
              <w:rPr>
                <w:lang w:val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96089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6089D">
              <w:rPr>
                <w:lang w:val="bg-BG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96089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6089D">
              <w:rPr>
                <w:lang w:val="bg-BG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722E86" w:rsidP="008B5BF7">
            <w:pPr>
              <w:jc w:val="right"/>
            </w:pPr>
            <w:r>
              <w:rPr>
                <w:lang w:val="bg-BG"/>
              </w:rPr>
              <w:t>15,</w:t>
            </w:r>
            <w:r w:rsidR="008B5BF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722E86" w:rsidP="008B5BF7">
            <w:pPr>
              <w:jc w:val="right"/>
            </w:pPr>
            <w:r>
              <w:rPr>
                <w:lang w:val="bg-BG"/>
              </w:rPr>
              <w:t>1</w:t>
            </w:r>
            <w:r w:rsidR="008B5BF7"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8B5BF7" w:rsidRDefault="008D3FD4" w:rsidP="008B5BF7">
            <w:pPr>
              <w:jc w:val="right"/>
            </w:pPr>
            <w:r>
              <w:rPr>
                <w:lang w:val="bg-BG"/>
              </w:rPr>
              <w:t>13,</w:t>
            </w:r>
            <w:r w:rsidR="008B5BF7">
              <w:t>3</w:t>
            </w:r>
          </w:p>
        </w:tc>
      </w:tr>
      <w:tr w:rsidR="00E325F4" w:rsidRPr="006257C9" w:rsidTr="0003660A">
        <w:trPr>
          <w:trHeight w:val="123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2D6E15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5. Превишения   </w:t>
            </w:r>
            <w:r w:rsidR="00E325F4" w:rsidRPr="006257C9">
              <w:rPr>
                <w:lang w:val="bg-BG"/>
              </w:rPr>
              <w:t>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5502A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D3FD4" w:rsidP="008877A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E5502A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D3FD4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5502A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5502A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8B5BF7" w:rsidP="008E3495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8B5BF7" w:rsidP="009D5A29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8B5BF7" w:rsidP="00F93107">
            <w:pPr>
              <w:jc w:val="right"/>
            </w:pPr>
            <w:r>
              <w:t>4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Pr="006257C9" w:rsidRDefault="00A45A0F" w:rsidP="00D66C42">
      <w:pPr>
        <w:ind w:right="38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</w:t>
      </w:r>
      <w:r w:rsidR="00F83976" w:rsidRPr="006257C9">
        <w:rPr>
          <w:rFonts w:ascii="Verdana" w:hAnsi="Verdana"/>
          <w:lang w:val="bg-BG"/>
        </w:rPr>
        <w:t>2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</w:t>
      </w:r>
      <w:r w:rsidR="004C11DC" w:rsidRPr="002F7879">
        <w:rPr>
          <w:rFonts w:ascii="Verdana" w:hAnsi="Verdana"/>
          <w:vertAlign w:val="subscript"/>
          <w:lang w:val="bg-BG"/>
        </w:rPr>
        <w:t xml:space="preserve">2,5 </w:t>
      </w:r>
      <w:r w:rsidR="004C11DC" w:rsidRPr="006257C9">
        <w:rPr>
          <w:rFonts w:ascii="Verdana" w:hAnsi="Verdana"/>
          <w:lang w:val="bg-BG"/>
        </w:rPr>
        <w:t>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4C11DC" w:rsidRPr="006257C9">
        <w:rPr>
          <w:rFonts w:ascii="Verdana" w:hAnsi="Verdana"/>
          <w:lang w:val="bg-BG"/>
        </w:rPr>
        <w:t>0</w:t>
      </w:r>
      <w:r w:rsidR="00304B43" w:rsidRPr="006257C9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.201</w:t>
      </w:r>
      <w:r w:rsidR="008331C8">
        <w:rPr>
          <w:rFonts w:ascii="Verdana" w:hAnsi="Verdana"/>
        </w:rPr>
        <w:t>7</w:t>
      </w:r>
      <w:r w:rsidR="004C11DC" w:rsidRPr="006257C9">
        <w:rPr>
          <w:rFonts w:ascii="Verdana" w:hAnsi="Verdana"/>
          <w:lang w:val="bg-BG"/>
        </w:rPr>
        <w:t xml:space="preserve"> г-3</w:t>
      </w:r>
      <w:r w:rsidR="00304B43" w:rsidRPr="006257C9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304B43" w:rsidRPr="006257C9">
        <w:rPr>
          <w:rFonts w:ascii="Verdana" w:hAnsi="Verdana"/>
          <w:lang w:val="bg-BG"/>
        </w:rPr>
        <w:t>9</w:t>
      </w:r>
      <w:r w:rsidR="004C11DC" w:rsidRPr="006257C9">
        <w:rPr>
          <w:rFonts w:ascii="Verdana" w:hAnsi="Verdana"/>
          <w:lang w:val="bg-BG"/>
        </w:rPr>
        <w:t>.201</w:t>
      </w:r>
      <w:r w:rsidR="008331C8">
        <w:rPr>
          <w:rFonts w:ascii="Verdana" w:hAnsi="Verdana"/>
        </w:rPr>
        <w:t>7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7E0295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D41712" w:rsidRDefault="008B5BF7" w:rsidP="00D66C42">
      <w:pPr>
        <w:ind w:right="388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2BDECD9" wp14:editId="23304C60">
            <wp:extent cx="5657850" cy="2743200"/>
            <wp:effectExtent l="0" t="0" r="19050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1560" w:rsidRDefault="009F1560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52486F" w:rsidRPr="001C7ADE" w:rsidRDefault="00F47D8F" w:rsidP="0052486F">
      <w:pPr>
        <w:jc w:val="right"/>
        <w:rPr>
          <w:lang w:val="bg-BG" w:eastAsia="en-US"/>
        </w:rPr>
      </w:pPr>
      <w:r>
        <w:rPr>
          <w:lang w:val="bg-BG"/>
        </w:rPr>
        <w:t>Т</w:t>
      </w:r>
      <w:r w:rsidR="0052486F">
        <w:rPr>
          <w:lang w:val="bg-BG"/>
        </w:rPr>
        <w:t xml:space="preserve">абл. </w:t>
      </w:r>
      <w:r w:rsidR="00195C26">
        <w:rPr>
          <w:lang w:val="bg-BG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B80AD8">
        <w:trPr>
          <w:cantSplit/>
        </w:trPr>
        <w:tc>
          <w:tcPr>
            <w:tcW w:w="1872" w:type="dxa"/>
          </w:tcPr>
          <w:p w:rsidR="0052486F" w:rsidRPr="00434592" w:rsidRDefault="003577D8" w:rsidP="0068122C">
            <w:pPr>
              <w:rPr>
                <w:lang w:val="bg-BG"/>
              </w:rPr>
            </w:pPr>
            <w:r>
              <w:rPr>
                <w:lang w:val="bg-BG"/>
              </w:rPr>
              <w:t>лято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–</w:t>
            </w:r>
            <w:r w:rsidR="000B2E70">
              <w:rPr>
                <w:lang w:val="bg-BG"/>
              </w:rPr>
              <w:t>201</w:t>
            </w:r>
            <w:r w:rsidR="00434592">
              <w:t>7</w:t>
            </w:r>
            <w:r w:rsidR="00434592">
              <w:rPr>
                <w:lang w:val="bg-BG"/>
              </w:rPr>
              <w:t>г.</w:t>
            </w:r>
          </w:p>
          <w:p w:rsidR="0052486F" w:rsidRPr="00B80AD8" w:rsidRDefault="0052486F" w:rsidP="0068122C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923B7A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3577D8">
              <w:rPr>
                <w:lang w:val="bg-BG"/>
              </w:rPr>
              <w:t>31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3577D8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4F3DC2" w:rsidRPr="00B80AD8">
        <w:trPr>
          <w:cantSplit/>
        </w:trPr>
        <w:tc>
          <w:tcPr>
            <w:tcW w:w="1872" w:type="dxa"/>
          </w:tcPr>
          <w:p w:rsidR="004F3DC2" w:rsidRPr="00B80AD8" w:rsidRDefault="004F3DC2" w:rsidP="004F3DC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  <w:r w:rsidR="005E0206">
              <w:rPr>
                <w:lang w:val="bg-BG"/>
              </w:rPr>
              <w:t>м.</w:t>
            </w:r>
          </w:p>
        </w:tc>
        <w:tc>
          <w:tcPr>
            <w:tcW w:w="936" w:type="dxa"/>
            <w:vAlign w:val="bottom"/>
          </w:tcPr>
          <w:p w:rsidR="004F3DC2" w:rsidRPr="005E0206" w:rsidRDefault="005E0206" w:rsidP="005E0206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vAlign w:val="bottom"/>
          </w:tcPr>
          <w:p w:rsidR="004F3DC2" w:rsidRPr="005E0206" w:rsidRDefault="005E0206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5E0206" w:rsidRDefault="005E0206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F3DC2" w:rsidRPr="005E0206" w:rsidRDefault="00D846F0" w:rsidP="005E0206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5E0206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vAlign w:val="bottom"/>
          </w:tcPr>
          <w:p w:rsidR="004F3DC2" w:rsidRDefault="004F3DC2" w:rsidP="005E0206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5E0206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D846F0" w:rsidRDefault="00091051" w:rsidP="00D846F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2</w:t>
            </w:r>
            <w:r w:rsidR="00D846F0"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DB6AAE" w:rsidRPr="005E0206" w:rsidRDefault="00D846F0" w:rsidP="005E0206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21.</w:t>
            </w:r>
            <w:r w:rsidR="005E0206">
              <w:rPr>
                <w:color w:val="000000"/>
                <w:lang w:val="bg-BG"/>
              </w:rPr>
              <w:t>16</w:t>
            </w:r>
          </w:p>
        </w:tc>
      </w:tr>
      <w:tr w:rsidR="004F3DC2" w:rsidRPr="00B80AD8">
        <w:trPr>
          <w:cantSplit/>
        </w:trPr>
        <w:tc>
          <w:tcPr>
            <w:tcW w:w="1872" w:type="dxa"/>
          </w:tcPr>
          <w:p w:rsidR="004F3DC2" w:rsidRPr="00B80AD8" w:rsidRDefault="004F3DC2" w:rsidP="004F3DC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4F3DC2" w:rsidRPr="005E0206" w:rsidRDefault="005E0206" w:rsidP="005E0206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4F3DC2" w:rsidRPr="005E0206" w:rsidRDefault="005E0206" w:rsidP="005E0206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5E0206" w:rsidRDefault="005E0206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F3DC2" w:rsidRPr="005E0206" w:rsidRDefault="005E0206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vAlign w:val="bottom"/>
          </w:tcPr>
          <w:p w:rsidR="004F3DC2" w:rsidRPr="005E0206" w:rsidRDefault="005E0206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D846F0" w:rsidRDefault="005E0206" w:rsidP="005E02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29,67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4F3DC2" w:rsidRPr="005E0206" w:rsidRDefault="00D846F0" w:rsidP="005E0206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27</w:t>
            </w:r>
            <w:r w:rsidR="005E0206">
              <w:rPr>
                <w:color w:val="000000"/>
                <w:lang w:val="bg-BG"/>
              </w:rPr>
              <w:t>,5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4C53C9" w:rsidRDefault="004C53C9" w:rsidP="00557232">
            <w:pPr>
              <w:ind w:left="-56" w:right="-133"/>
            </w:pPr>
            <w:r>
              <w:rPr>
                <w:lang w:val="bg-BG"/>
              </w:rPr>
              <w:t xml:space="preserve">3. </w:t>
            </w:r>
            <w:proofErr w:type="spellStart"/>
            <w:r>
              <w:rPr>
                <w:lang w:val="bg-BG"/>
              </w:rPr>
              <w:t>Слънч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Ср</w:t>
            </w:r>
            <w:proofErr w:type="spellEnd"/>
            <w:r>
              <w:t>.</w:t>
            </w:r>
            <w:r>
              <w:rPr>
                <w:lang w:val="bg-BG"/>
              </w:rPr>
              <w:t>M</w:t>
            </w:r>
          </w:p>
        </w:tc>
        <w:tc>
          <w:tcPr>
            <w:tcW w:w="936" w:type="dxa"/>
            <w:vAlign w:val="bottom"/>
          </w:tcPr>
          <w:p w:rsidR="00557232" w:rsidRPr="005E0206" w:rsidRDefault="005E0206" w:rsidP="0055723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141</w:t>
            </w:r>
          </w:p>
        </w:tc>
        <w:tc>
          <w:tcPr>
            <w:tcW w:w="936" w:type="dxa"/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5E0206"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23</w:t>
            </w:r>
            <w:r w:rsidR="005E0206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lang w:val="bg-BG"/>
              </w:rPr>
            </w:pPr>
            <w:r>
              <w:t>1</w:t>
            </w:r>
            <w:r w:rsidR="005E0206">
              <w:rPr>
                <w:lang w:val="bg-BG"/>
              </w:rPr>
              <w:t>77,67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5E0206">
              <w:rPr>
                <w:color w:val="000000"/>
                <w:lang w:val="bg-BG"/>
              </w:rPr>
              <w:t>19</w:t>
            </w:r>
          </w:p>
        </w:tc>
        <w:tc>
          <w:tcPr>
            <w:tcW w:w="936" w:type="dxa"/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5E0206"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8</w:t>
            </w:r>
            <w:r w:rsidR="005E0206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lang w:val="bg-BG"/>
              </w:rPr>
            </w:pPr>
            <w:r>
              <w:t>1</w:t>
            </w:r>
            <w:r w:rsidR="005E0206">
              <w:rPr>
                <w:lang w:val="bg-BG"/>
              </w:rPr>
              <w:t>25,5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4C53C9" w:rsidRPr="005E0206" w:rsidRDefault="00D846F0" w:rsidP="005E0206">
            <w:pPr>
              <w:jc w:val="right"/>
              <w:rPr>
                <w:lang w:val="bg-BG"/>
              </w:rPr>
            </w:pPr>
            <w:r>
              <w:t>1</w:t>
            </w:r>
            <w:r w:rsidR="005E0206">
              <w:rPr>
                <w:lang w:val="bg-BG"/>
              </w:rPr>
              <w:t>51,58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B80AD8" w:rsidRDefault="00557232" w:rsidP="0055723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4. </w:t>
            </w:r>
            <w:proofErr w:type="spellStart"/>
            <w:r w:rsidRPr="00B80AD8">
              <w:rPr>
                <w:lang w:val="bg-BG"/>
              </w:rPr>
              <w:t>Слънч</w:t>
            </w:r>
            <w:proofErr w:type="spellEnd"/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557232" w:rsidRPr="005E0206" w:rsidRDefault="005E0206" w:rsidP="0055723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218</w:t>
            </w:r>
          </w:p>
        </w:tc>
        <w:tc>
          <w:tcPr>
            <w:tcW w:w="936" w:type="dxa"/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29</w:t>
            </w:r>
            <w:r w:rsidR="005E0206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31</w:t>
            </w:r>
            <w:r w:rsidR="005E0206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5E0206" w:rsidRDefault="005E0206" w:rsidP="0055723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30</w:t>
            </w:r>
            <w:r w:rsidR="005E0206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5E0206">
              <w:rPr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5E0206" w:rsidRDefault="00D846F0" w:rsidP="005E0206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5E0206">
              <w:rPr>
                <w:color w:val="000000"/>
                <w:lang w:val="bg-BG"/>
              </w:rPr>
              <w:t>35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5E0206" w:rsidRDefault="005E0206" w:rsidP="0055723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5E0206" w:rsidRDefault="005E0206" w:rsidP="0055723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315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Темп.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>.  – измерена максимална</w:t>
      </w:r>
      <w:r w:rsidR="00FD04F0">
        <w:rPr>
          <w:rFonts w:ascii="Verdana" w:hAnsi="Verdana"/>
          <w:lang w:val="bg-BG"/>
        </w:rPr>
        <w:t xml:space="preserve"> </w:t>
      </w:r>
      <w:proofErr w:type="spellStart"/>
      <w:r w:rsidR="00FD04F0">
        <w:rPr>
          <w:rFonts w:ascii="Verdana" w:hAnsi="Verdana"/>
          <w:lang w:val="bg-BG"/>
        </w:rPr>
        <w:t>средноденонощна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3.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4.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gramStart"/>
      <w:r w:rsidRPr="006257C9">
        <w:rPr>
          <w:rFonts w:ascii="Verdana" w:hAnsi="Verdana"/>
          <w:bCs/>
          <w:lang w:val="bg-BG"/>
        </w:rPr>
        <w:t>минимален</w:t>
      </w:r>
      <w:proofErr w:type="gramEnd"/>
      <w:r w:rsidRPr="006257C9">
        <w:rPr>
          <w:rFonts w:ascii="Verdana" w:hAnsi="Verdana"/>
          <w:bCs/>
          <w:lang w:val="bg-BG"/>
        </w:rPr>
        <w:t xml:space="preserve"> брой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 w:rsidR="00B21D78"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 xml:space="preserve">».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летен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 w:rsidR="003577D8" w:rsidRPr="006257C9">
        <w:rPr>
          <w:rFonts w:ascii="Verdana" w:hAnsi="Verdana"/>
          <w:bCs/>
          <w:lang w:val="ru-RU"/>
        </w:rPr>
        <w:t>а</w:t>
      </w:r>
      <w:r w:rsidRPr="006257C9">
        <w:rPr>
          <w:rFonts w:ascii="Verdana" w:hAnsi="Verdana"/>
          <w:bCs/>
          <w:lang w:val="ru-RU"/>
        </w:rPr>
        <w:t>прил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434592">
        <w:rPr>
          <w:rFonts w:ascii="Verdana" w:hAnsi="Verdana"/>
          <w:bCs/>
          <w:lang w:val="ru-RU"/>
        </w:rPr>
        <w:t>7г.</w:t>
      </w:r>
      <w:r w:rsidRPr="006257C9">
        <w:rPr>
          <w:rFonts w:ascii="Verdana" w:hAnsi="Verdana"/>
          <w:bCs/>
          <w:lang w:val="ru-RU"/>
        </w:rPr>
        <w:t xml:space="preserve"> – м. </w:t>
      </w:r>
      <w:proofErr w:type="spellStart"/>
      <w:r w:rsidR="003577D8" w:rsidRPr="006257C9">
        <w:rPr>
          <w:rFonts w:ascii="Verdana" w:hAnsi="Verdana"/>
          <w:bCs/>
          <w:lang w:val="ru-RU"/>
        </w:rPr>
        <w:t>с</w:t>
      </w:r>
      <w:r w:rsidRPr="006257C9">
        <w:rPr>
          <w:rFonts w:ascii="Verdana" w:hAnsi="Verdana"/>
          <w:bCs/>
          <w:lang w:val="ru-RU"/>
        </w:rPr>
        <w:t>ептември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434592">
        <w:rPr>
          <w:rFonts w:ascii="Verdana" w:hAnsi="Verdana"/>
          <w:bCs/>
          <w:lang w:val="ru-RU"/>
        </w:rPr>
        <w:t>7</w:t>
      </w:r>
      <w:r w:rsidRPr="006257C9">
        <w:rPr>
          <w:rFonts w:ascii="Verdana" w:hAnsi="Verdana"/>
          <w:bCs/>
          <w:lang w:val="ru-RU"/>
        </w:rPr>
        <w:t xml:space="preserve">г., </w:t>
      </w:r>
      <w:proofErr w:type="spellStart"/>
      <w:r w:rsidRPr="006257C9">
        <w:rPr>
          <w:rFonts w:ascii="Verdana" w:hAnsi="Verdana"/>
          <w:bCs/>
          <w:lang w:val="ru-RU"/>
        </w:rPr>
        <w:t>измерените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се </w:t>
      </w:r>
      <w:proofErr w:type="spellStart"/>
      <w:r w:rsidRPr="006257C9">
        <w:rPr>
          <w:rFonts w:ascii="Verdana" w:hAnsi="Verdana"/>
          <w:bCs/>
          <w:lang w:val="ru-RU"/>
        </w:rPr>
        <w:t>характеризират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със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gramStart"/>
      <w:r w:rsidRPr="006257C9">
        <w:rPr>
          <w:rFonts w:ascii="Verdana" w:hAnsi="Verdana"/>
          <w:bCs/>
          <w:lang w:val="ru-RU"/>
        </w:rPr>
        <w:t>под</w:t>
      </w:r>
      <w:proofErr w:type="gramEnd"/>
      <w:r w:rsidRPr="006257C9">
        <w:rPr>
          <w:rFonts w:ascii="Verdana" w:hAnsi="Verdana"/>
          <w:bCs/>
          <w:lang w:val="ru-RU"/>
        </w:rPr>
        <w:t xml:space="preserve"> нормативно </w:t>
      </w:r>
      <w:proofErr w:type="spellStart"/>
      <w:r w:rsidRPr="006257C9">
        <w:rPr>
          <w:rFonts w:ascii="Verdana" w:hAnsi="Verdana"/>
          <w:bCs/>
          <w:lang w:val="ru-RU"/>
        </w:rPr>
        <w:t>определените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gramStart"/>
      <w:r w:rsidR="003577D8" w:rsidRPr="006257C9">
        <w:rPr>
          <w:rFonts w:ascii="Verdana" w:hAnsi="Verdana"/>
          <w:bCs/>
          <w:lang w:val="ru-RU"/>
        </w:rPr>
        <w:t>О</w:t>
      </w:r>
      <w:r w:rsidRPr="006257C9">
        <w:rPr>
          <w:rFonts w:ascii="Verdana" w:hAnsi="Verdana"/>
          <w:bCs/>
          <w:lang w:val="ru-RU"/>
        </w:rPr>
        <w:t xml:space="preserve">т 11.08.2015г. АИС «Баня Старинна» е </w:t>
      </w:r>
      <w:proofErr w:type="spellStart"/>
      <w:r w:rsidRPr="006257C9">
        <w:rPr>
          <w:rFonts w:ascii="Verdana" w:hAnsi="Verdana"/>
          <w:bCs/>
          <w:lang w:val="ru-RU"/>
        </w:rPr>
        <w:t>премест</w:t>
      </w:r>
      <w:r w:rsidR="003D1447" w:rsidRPr="006257C9">
        <w:rPr>
          <w:rFonts w:ascii="Verdana" w:hAnsi="Verdana"/>
          <w:bCs/>
          <w:lang w:val="ru-RU"/>
        </w:rPr>
        <w:t>ен</w:t>
      </w:r>
      <w:proofErr w:type="spellEnd"/>
      <w:r w:rsidRPr="006257C9">
        <w:rPr>
          <w:rFonts w:ascii="Verdana" w:hAnsi="Verdana"/>
          <w:bCs/>
          <w:lang w:val="ru-RU"/>
        </w:rPr>
        <w:t xml:space="preserve"> на ново </w:t>
      </w:r>
      <w:proofErr w:type="spellStart"/>
      <w:r w:rsidRPr="006257C9">
        <w:rPr>
          <w:rFonts w:ascii="Verdana" w:hAnsi="Verdana"/>
          <w:bCs/>
          <w:lang w:val="ru-RU"/>
        </w:rPr>
        <w:t>място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– </w:t>
      </w:r>
      <w:proofErr w:type="spellStart"/>
      <w:r w:rsidR="003D1447" w:rsidRPr="006257C9">
        <w:rPr>
          <w:rFonts w:ascii="Verdana" w:hAnsi="Verdana"/>
          <w:bCs/>
          <w:lang w:val="ru-RU"/>
        </w:rPr>
        <w:t>жилищен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район «</w:t>
      </w:r>
      <w:proofErr w:type="spellStart"/>
      <w:r w:rsidR="003D1447" w:rsidRPr="006257C9">
        <w:rPr>
          <w:rFonts w:ascii="Verdana" w:hAnsi="Verdana"/>
          <w:bCs/>
          <w:lang w:val="ru-RU"/>
        </w:rPr>
        <w:t>Тракия</w:t>
      </w:r>
      <w:proofErr w:type="spellEnd"/>
      <w:r w:rsidR="003D1447" w:rsidRPr="006257C9">
        <w:rPr>
          <w:rFonts w:ascii="Verdana" w:hAnsi="Verdana"/>
          <w:bCs/>
          <w:lang w:val="ru-RU"/>
        </w:rPr>
        <w:t>»</w:t>
      </w:r>
      <w:r w:rsidRPr="006257C9">
        <w:rPr>
          <w:rFonts w:ascii="Verdana" w:hAnsi="Verdana"/>
          <w:bCs/>
          <w:lang w:val="ru-RU"/>
        </w:rPr>
        <w:t xml:space="preserve">, на база </w:t>
      </w:r>
      <w:proofErr w:type="spellStart"/>
      <w:r w:rsidRPr="006257C9">
        <w:rPr>
          <w:rFonts w:ascii="Verdana" w:hAnsi="Verdana"/>
          <w:bCs/>
          <w:lang w:val="ru-RU"/>
        </w:rPr>
        <w:t>преразгледано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разположение</w:t>
      </w:r>
      <w:proofErr w:type="spellEnd"/>
      <w:r w:rsidRPr="006257C9">
        <w:rPr>
          <w:rFonts w:ascii="Verdana" w:hAnsi="Verdana"/>
          <w:bCs/>
          <w:lang w:val="ru-RU"/>
        </w:rPr>
        <w:t xml:space="preserve"> на пункта, </w:t>
      </w:r>
      <w:proofErr w:type="spellStart"/>
      <w:r w:rsidRPr="006257C9">
        <w:rPr>
          <w:rFonts w:ascii="Verdana" w:hAnsi="Verdana"/>
          <w:bCs/>
          <w:lang w:val="ru-RU"/>
        </w:rPr>
        <w:t>съгласно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приложение 6 </w:t>
      </w:r>
      <w:proofErr w:type="spellStart"/>
      <w:r w:rsidR="003D1447" w:rsidRPr="006257C9">
        <w:rPr>
          <w:rFonts w:ascii="Verdana" w:hAnsi="Verdana"/>
          <w:bCs/>
          <w:lang w:val="ru-RU"/>
        </w:rPr>
        <w:t>към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чл. 11 от </w:t>
      </w:r>
      <w:proofErr w:type="spellStart"/>
      <w:r w:rsidR="003D1447" w:rsidRPr="006257C9">
        <w:rPr>
          <w:rFonts w:ascii="Verdana" w:hAnsi="Verdana"/>
          <w:bCs/>
          <w:lang w:val="ru-RU"/>
        </w:rPr>
        <w:t>Наредба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№ 12/2010г.</w:t>
      </w:r>
      <w:proofErr w:type="gramEnd"/>
      <w:r w:rsidR="003D1447"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bCs/>
          <w:lang w:val="bg-BG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 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="002855D0" w:rsidRPr="006257C9">
        <w:rPr>
          <w:rFonts w:ascii="Verdana" w:hAnsi="Verdana"/>
        </w:rPr>
        <w:t>Регистрираните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данни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пунктовете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мониторинг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през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оценявания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период</w:t>
      </w:r>
      <w:proofErr w:type="spellEnd"/>
      <w:r w:rsidR="002855D0" w:rsidRPr="006257C9">
        <w:rPr>
          <w:rFonts w:ascii="Verdana" w:hAnsi="Verdana"/>
        </w:rPr>
        <w:t xml:space="preserve"> – </w:t>
      </w:r>
      <w:proofErr w:type="spellStart"/>
      <w:r w:rsidR="002855D0" w:rsidRPr="006257C9">
        <w:rPr>
          <w:rFonts w:ascii="Verdana" w:hAnsi="Verdana"/>
        </w:rPr>
        <w:t>лято</w:t>
      </w:r>
      <w:proofErr w:type="spellEnd"/>
      <w:r w:rsidR="002855D0" w:rsidRPr="006257C9">
        <w:rPr>
          <w:rFonts w:ascii="Verdana" w:hAnsi="Verdana"/>
        </w:rPr>
        <w:t xml:space="preserve"> 201</w:t>
      </w:r>
      <w:r w:rsidR="005174FA">
        <w:rPr>
          <w:rFonts w:ascii="Verdana" w:hAnsi="Verdana"/>
          <w:lang w:val="bg-BG"/>
        </w:rPr>
        <w:t>7</w:t>
      </w:r>
      <w:r w:rsidR="002855D0" w:rsidRPr="006257C9">
        <w:rPr>
          <w:rFonts w:ascii="Verdana" w:hAnsi="Verdana"/>
        </w:rPr>
        <w:t xml:space="preserve">г., </w:t>
      </w:r>
      <w:proofErr w:type="spellStart"/>
      <w:r w:rsidR="002855D0" w:rsidRPr="006257C9">
        <w:rPr>
          <w:rFonts w:ascii="Verdana" w:hAnsi="Verdana"/>
        </w:rPr>
        <w:t>показват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потвърждение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резултатите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получени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направеното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  <w:lang w:val="bg-BG"/>
        </w:rPr>
        <w:t>дисперсионно</w:t>
      </w:r>
      <w:proofErr w:type="spellEnd"/>
      <w:r w:rsidR="00DE3EC1" w:rsidRPr="006257C9">
        <w:rPr>
          <w:rFonts w:ascii="Verdana" w:hAnsi="Verdana"/>
          <w:lang w:val="bg-BG"/>
        </w:rPr>
        <w:t xml:space="preserve"> моделиране с програмен продукт </w:t>
      </w:r>
      <w:r w:rsidR="00DE3EC1" w:rsidRPr="006257C9">
        <w:rPr>
          <w:rFonts w:ascii="Verdana" w:hAnsi="Verdana"/>
        </w:rPr>
        <w:t>SELMA</w:t>
      </w:r>
      <w:r w:rsidR="00DE3EC1" w:rsidRPr="006257C9">
        <w:rPr>
          <w:rFonts w:ascii="Verdana" w:hAnsi="Verdana"/>
          <w:vertAlign w:val="superscript"/>
        </w:rPr>
        <w:t>GIS</w:t>
      </w:r>
      <w:r w:rsidR="00DE3EC1" w:rsidRPr="006257C9">
        <w:rPr>
          <w:rFonts w:ascii="Verdana" w:hAnsi="Verdana"/>
          <w:lang w:val="bg-BG"/>
        </w:rPr>
        <w:t xml:space="preserve">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proofErr w:type="spellStart"/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>та</w:t>
      </w:r>
      <w:proofErr w:type="spellEnd"/>
      <w:r w:rsidR="002855D0" w:rsidRPr="006257C9">
        <w:rPr>
          <w:rFonts w:ascii="Verdana" w:hAnsi="Verdana"/>
        </w:rPr>
        <w:t xml:space="preserve"> </w:t>
      </w:r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моделна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оценка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програмите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подобряване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КАВ, а </w:t>
      </w:r>
      <w:proofErr w:type="spellStart"/>
      <w:r w:rsidR="002855D0" w:rsidRPr="006257C9">
        <w:rPr>
          <w:rFonts w:ascii="Verdana" w:hAnsi="Verdana"/>
        </w:rPr>
        <w:t>именно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ограничено</w:t>
      </w:r>
      <w:proofErr w:type="spellEnd"/>
      <w:r w:rsidR="00DE3EC1" w:rsidRPr="006257C9">
        <w:rPr>
          <w:rFonts w:ascii="Verdana" w:hAnsi="Verdana"/>
        </w:rPr>
        <w:t xml:space="preserve">  </w:t>
      </w:r>
      <w:proofErr w:type="spellStart"/>
      <w:r w:rsidR="00DE3EC1" w:rsidRPr="006257C9">
        <w:rPr>
          <w:rFonts w:ascii="Verdana" w:hAnsi="Verdana"/>
        </w:rPr>
        <w:t>влияние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индустриалните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източници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показател</w:t>
      </w:r>
      <w:proofErr w:type="spellEnd"/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proofErr w:type="spellStart"/>
      <w:r w:rsidR="00DE3EC1" w:rsidRPr="006257C9">
        <w:rPr>
          <w:rFonts w:ascii="Verdana" w:hAnsi="Verdana"/>
        </w:rPr>
        <w:t>за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територията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общини</w:t>
      </w:r>
      <w:proofErr w:type="spellEnd"/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добрите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параметри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изпускащите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устройства</w:t>
      </w:r>
      <w:proofErr w:type="spellEnd"/>
      <w:r w:rsidR="006A20A5">
        <w:rPr>
          <w:rFonts w:ascii="Verdana" w:hAnsi="Verdana"/>
        </w:rPr>
        <w:t xml:space="preserve">, </w:t>
      </w:r>
      <w:proofErr w:type="spellStart"/>
      <w:r w:rsidR="006A20A5">
        <w:rPr>
          <w:rFonts w:ascii="Verdana" w:hAnsi="Verdana"/>
        </w:rPr>
        <w:lastRenderedPageBreak/>
        <w:t>както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засиления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контрол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от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страна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РИОСВ-</w:t>
      </w:r>
      <w:proofErr w:type="spellStart"/>
      <w:r w:rsidR="00DE3EC1" w:rsidRPr="006257C9">
        <w:rPr>
          <w:rFonts w:ascii="Verdana" w:hAnsi="Verdana"/>
        </w:rPr>
        <w:t>Пловдив</w:t>
      </w:r>
      <w:proofErr w:type="spellEnd"/>
      <w:r w:rsidR="002855D0" w:rsidRPr="006257C9">
        <w:rPr>
          <w:rFonts w:ascii="Verdana" w:hAnsi="Verdana"/>
          <w:lang w:val="bg-BG"/>
        </w:rPr>
        <w:t xml:space="preserve"> и изпълнение на 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124B34" w:rsidRPr="006257C9" w:rsidRDefault="00124B34" w:rsidP="002855D0">
      <w:pPr>
        <w:ind w:firstLine="720"/>
        <w:jc w:val="both"/>
        <w:rPr>
          <w:rFonts w:ascii="Verdana" w:hAnsi="Verdana"/>
        </w:rPr>
      </w:pPr>
      <w:r w:rsidRPr="006257C9">
        <w:rPr>
          <w:rFonts w:ascii="Verdana" w:hAnsi="Verdana"/>
          <w:lang w:val="bg-BG"/>
        </w:rPr>
        <w:t xml:space="preserve">Най-съществено влияние върху КАВ, по отношение на фините </w:t>
      </w:r>
      <w:proofErr w:type="spellStart"/>
      <w:r w:rsidRPr="006257C9">
        <w:rPr>
          <w:rFonts w:ascii="Verdana" w:hAnsi="Verdana"/>
          <w:lang w:val="bg-BG"/>
        </w:rPr>
        <w:t>прахови</w:t>
      </w:r>
      <w:proofErr w:type="spellEnd"/>
      <w:r w:rsidRPr="006257C9">
        <w:rPr>
          <w:rFonts w:ascii="Verdana" w:hAnsi="Verdana"/>
          <w:lang w:val="bg-BG"/>
        </w:rPr>
        <w:t xml:space="preserve"> частици през </w:t>
      </w:r>
      <w:proofErr w:type="spellStart"/>
      <w:r w:rsidR="002855D0" w:rsidRPr="006257C9">
        <w:rPr>
          <w:rFonts w:ascii="Verdana" w:hAnsi="Verdana"/>
        </w:rPr>
        <w:t>летните</w:t>
      </w:r>
      <w:proofErr w:type="spellEnd"/>
      <w:r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F47D8F" w:rsidRPr="006257C9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Климатичните условия оказват значително</w:t>
      </w:r>
      <w:r w:rsidR="00E74CCB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влияние върху КАВ. За района на Област Пловдив са характерни неблагоприятни фактори, като топографски особености и климатични условия, влошаващи разсейването на </w:t>
      </w:r>
      <w:r w:rsidR="00B14A66" w:rsidRPr="006257C9">
        <w:rPr>
          <w:rFonts w:ascii="Verdana" w:hAnsi="Verdana"/>
          <w:lang w:val="bg-BG"/>
        </w:rPr>
        <w:t>емитираните замърсители и</w:t>
      </w:r>
      <w:r w:rsidRPr="006257C9">
        <w:rPr>
          <w:rFonts w:ascii="Verdana" w:hAnsi="Verdana"/>
          <w:lang w:val="bg-BG"/>
        </w:rPr>
        <w:t xml:space="preserve"> водещи до регистриране на високи концентрации. </w:t>
      </w:r>
    </w:p>
    <w:p w:rsidR="00124B34" w:rsidRPr="006257C9" w:rsidRDefault="00F47D8F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П</w:t>
      </w:r>
      <w:r w:rsidR="00124B34" w:rsidRPr="006257C9">
        <w:rPr>
          <w:rFonts w:ascii="Verdana" w:hAnsi="Verdana"/>
          <w:lang w:val="bg-BG"/>
        </w:rPr>
        <w:t>рез</w:t>
      </w:r>
      <w:r w:rsidR="00E74CCB" w:rsidRPr="006257C9">
        <w:rPr>
          <w:rFonts w:ascii="Verdana" w:hAnsi="Verdana"/>
          <w:lang w:val="bg-BG"/>
        </w:rPr>
        <w:t xml:space="preserve"> оценявания</w:t>
      </w:r>
      <w:r w:rsidR="00124B34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летен</w:t>
      </w:r>
      <w:r w:rsidR="00124B34" w:rsidRPr="006257C9">
        <w:rPr>
          <w:rFonts w:ascii="Verdana" w:hAnsi="Verdana"/>
          <w:lang w:val="bg-BG"/>
        </w:rPr>
        <w:t xml:space="preserve"> период, </w:t>
      </w:r>
      <w:r w:rsidRPr="006257C9">
        <w:rPr>
          <w:rFonts w:ascii="Verdana" w:hAnsi="Verdana"/>
          <w:lang w:val="bg-BG"/>
        </w:rPr>
        <w:t>с повишаване на температурите и преустановяване използването на отоплителни системи, се регистрират стойности на ФПЧ</w:t>
      </w:r>
      <w:r w:rsidRPr="002F7879">
        <w:rPr>
          <w:rFonts w:ascii="Verdana" w:hAnsi="Verdana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 xml:space="preserve"> под </w:t>
      </w:r>
      <w:proofErr w:type="spellStart"/>
      <w:r w:rsidRPr="006257C9">
        <w:rPr>
          <w:rFonts w:ascii="Verdana" w:hAnsi="Verdana"/>
          <w:lang w:val="bg-BG"/>
        </w:rPr>
        <w:t>средноденонощната</w:t>
      </w:r>
      <w:proofErr w:type="spellEnd"/>
      <w:r w:rsidRPr="006257C9">
        <w:rPr>
          <w:rFonts w:ascii="Verdana" w:hAnsi="Verdana"/>
          <w:lang w:val="bg-BG"/>
        </w:rPr>
        <w:t xml:space="preserve"> норма за опазване на човешкото здраве. </w:t>
      </w:r>
    </w:p>
    <w:p w:rsidR="00F17694" w:rsidRDefault="00F17694" w:rsidP="00F17694">
      <w:pPr>
        <w:jc w:val="both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6252D7" w:rsidRPr="003C16DC">
        <w:rPr>
          <w:rFonts w:ascii="Verdana" w:hAnsi="Verdana"/>
          <w:bCs/>
          <w:i/>
          <w:lang w:val="ru-RU"/>
        </w:rPr>
        <w:t>3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6252D7" w:rsidRPr="003C16DC">
        <w:rPr>
          <w:rFonts w:ascii="Verdana" w:hAnsi="Verdana"/>
          <w:bCs/>
          <w:i/>
          <w:lang w:val="ru-RU"/>
        </w:rPr>
        <w:t>4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измерената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температура.</w:t>
      </w:r>
    </w:p>
    <w:p w:rsidR="006257C9" w:rsidRPr="006257C9" w:rsidRDefault="006257C9" w:rsidP="00F17694">
      <w:pPr>
        <w:jc w:val="both"/>
        <w:rPr>
          <w:rFonts w:ascii="Verdana" w:hAnsi="Verdana"/>
          <w:bCs/>
          <w:lang w:val="ru-RU"/>
        </w:rPr>
      </w:pPr>
    </w:p>
    <w:p w:rsidR="00987A98" w:rsidRDefault="00852343" w:rsidP="001C5A51">
      <w:pPr>
        <w:pStyle w:val="1"/>
        <w:jc w:val="both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6FBD62BC" wp14:editId="4F81C9A5">
            <wp:extent cx="5886450" cy="3400425"/>
            <wp:effectExtent l="0" t="0" r="19050" b="9525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72E9" w:rsidRDefault="00C172E9" w:rsidP="00DD0B2F">
      <w:pPr>
        <w:rPr>
          <w:rFonts w:ascii="Verdana" w:hAnsi="Verdana"/>
          <w:b/>
        </w:rPr>
      </w:pPr>
    </w:p>
    <w:p w:rsidR="003A3691" w:rsidRPr="00E706F9" w:rsidRDefault="00987A98" w:rsidP="00DD0B2F">
      <w:pPr>
        <w:rPr>
          <w:rFonts w:ascii="Verdana" w:hAnsi="Verdana"/>
          <w:b/>
          <w:lang w:val="bg-BG"/>
        </w:rPr>
      </w:pPr>
      <w:r w:rsidRPr="00E706F9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3</w:t>
      </w:r>
      <w:r w:rsidR="00002C1E" w:rsidRPr="00E706F9">
        <w:rPr>
          <w:rFonts w:ascii="Verdana" w:hAnsi="Verdana"/>
          <w:b/>
          <w:lang w:val="bg-BG"/>
        </w:rPr>
        <w:t xml:space="preserve"> –</w:t>
      </w:r>
      <w:r w:rsidR="00434007" w:rsidRPr="00E706F9">
        <w:rPr>
          <w:rFonts w:ascii="Verdana" w:hAnsi="Verdana"/>
          <w:b/>
          <w:lang w:val="bg-BG"/>
        </w:rPr>
        <w:t xml:space="preserve"> З</w:t>
      </w:r>
      <w:r w:rsidR="00002C1E" w:rsidRPr="00E706F9">
        <w:rPr>
          <w:rFonts w:ascii="Verdana" w:hAnsi="Verdana"/>
          <w:b/>
          <w:lang w:val="bg-BG"/>
        </w:rPr>
        <w:t xml:space="preserve">ависимост на </w:t>
      </w:r>
      <w:r w:rsidR="00002C1E" w:rsidRPr="002F7879">
        <w:rPr>
          <w:rFonts w:ascii="Verdana" w:hAnsi="Verdana"/>
          <w:b/>
          <w:lang w:val="bg-BG"/>
        </w:rPr>
        <w:t xml:space="preserve">осреднените </w:t>
      </w:r>
      <w:r w:rsidR="00002C1E" w:rsidRPr="00E706F9">
        <w:rPr>
          <w:rFonts w:ascii="Verdana" w:hAnsi="Verdana"/>
          <w:b/>
          <w:lang w:val="bg-BG"/>
        </w:rPr>
        <w:t xml:space="preserve">по месеци, измерени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средноденонощни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E706F9">
        <w:rPr>
          <w:rFonts w:ascii="Verdana" w:hAnsi="Verdana"/>
          <w:b/>
          <w:lang w:val="bg-BG"/>
        </w:rPr>
        <w:t xml:space="preserve"> 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температура</w:t>
      </w:r>
    </w:p>
    <w:p w:rsidR="00ED6E24" w:rsidRDefault="00ED6E24" w:rsidP="00DD0B2F">
      <w:pPr>
        <w:rPr>
          <w:b/>
          <w:lang w:val="bg-BG"/>
        </w:rPr>
      </w:pPr>
    </w:p>
    <w:p w:rsidR="00ED6E24" w:rsidRPr="006257C9" w:rsidRDefault="00203B7C" w:rsidP="00203B7C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Налице е обратна зависимост на р</w:t>
      </w:r>
      <w:r w:rsidR="00ED6E24" w:rsidRPr="006257C9">
        <w:rPr>
          <w:rFonts w:ascii="Verdana" w:hAnsi="Verdana"/>
          <w:lang w:val="bg-BG"/>
        </w:rPr>
        <w:t xml:space="preserve">егистрираните </w:t>
      </w:r>
      <w:proofErr w:type="spellStart"/>
      <w:r w:rsidR="00ED6E24" w:rsidRPr="006257C9">
        <w:rPr>
          <w:rFonts w:ascii="Verdana" w:hAnsi="Verdana"/>
          <w:lang w:val="bg-BG"/>
        </w:rPr>
        <w:t>средноденонощни</w:t>
      </w:r>
      <w:proofErr w:type="spellEnd"/>
      <w:r w:rsidR="00ED6E24" w:rsidRPr="006257C9">
        <w:rPr>
          <w:rFonts w:ascii="Verdana" w:hAnsi="Verdana"/>
          <w:lang w:val="bg-BG"/>
        </w:rPr>
        <w:t xml:space="preserve"> стойности</w:t>
      </w:r>
      <w:r w:rsidRPr="006257C9">
        <w:rPr>
          <w:rFonts w:ascii="Verdana" w:hAnsi="Verdana"/>
          <w:lang w:val="bg-BG"/>
        </w:rPr>
        <w:t>,</w:t>
      </w:r>
      <w:r w:rsidR="00ED6E24" w:rsidRPr="006257C9">
        <w:rPr>
          <w:rFonts w:ascii="Verdana" w:hAnsi="Verdana"/>
          <w:lang w:val="bg-BG"/>
        </w:rPr>
        <w:t xml:space="preserve"> осреднени по месеци</w:t>
      </w:r>
      <w:r w:rsidR="00002C1E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  <w:lang w:val="bg-BG"/>
        </w:rPr>
        <w:t xml:space="preserve"> </w:t>
      </w:r>
      <w:r w:rsidR="00ED6E24" w:rsidRPr="006257C9">
        <w:rPr>
          <w:rFonts w:ascii="Verdana" w:hAnsi="Verdana"/>
          <w:lang w:val="bg-BG"/>
        </w:rPr>
        <w:t xml:space="preserve"> спрямо </w:t>
      </w:r>
      <w:proofErr w:type="spellStart"/>
      <w:r w:rsidR="00ED6E24" w:rsidRPr="006257C9">
        <w:rPr>
          <w:rFonts w:ascii="Verdana" w:hAnsi="Verdana"/>
          <w:lang w:val="bg-BG"/>
        </w:rPr>
        <w:t>средномесечните</w:t>
      </w:r>
      <w:proofErr w:type="spellEnd"/>
      <w:r w:rsidR="00ED6E24" w:rsidRPr="006257C9">
        <w:rPr>
          <w:rFonts w:ascii="Verdana" w:hAnsi="Verdana"/>
          <w:lang w:val="bg-BG"/>
        </w:rPr>
        <w:t xml:space="preserve"> температури.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4121A8D1" wp14:editId="435626A7">
            <wp:extent cx="6648450" cy="340042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735AAA" w:rsidRPr="00701CAA" w:rsidRDefault="00BD7A6E" w:rsidP="001A420B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4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proofErr w:type="spellStart"/>
      <w:r w:rsidR="00002C1E" w:rsidRPr="00701CAA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</w:p>
    <w:p w:rsidR="00B709BA" w:rsidRPr="006257C9" w:rsidRDefault="00B709BA" w:rsidP="00B709BA">
      <w:pPr>
        <w:ind w:firstLine="567"/>
        <w:rPr>
          <w:lang w:val="bg-BG"/>
        </w:rPr>
      </w:pPr>
    </w:p>
    <w:p w:rsidR="004C3611" w:rsidRPr="006257C9" w:rsidRDefault="00011C53" w:rsidP="00E24E54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 xml:space="preserve">тарят зависимостта на </w:t>
      </w:r>
      <w:proofErr w:type="spellStart"/>
      <w:r w:rsidR="001D3C01" w:rsidRPr="006257C9">
        <w:rPr>
          <w:rFonts w:ascii="Verdana" w:hAnsi="Verdana"/>
          <w:lang w:val="bg-BG"/>
        </w:rPr>
        <w:t>средномесечните</w:t>
      </w:r>
      <w:proofErr w:type="spellEnd"/>
      <w:r w:rsidR="001D3C01" w:rsidRPr="006257C9">
        <w:rPr>
          <w:rFonts w:ascii="Verdana" w:hAnsi="Verdana"/>
          <w:lang w:val="bg-BG"/>
        </w:rPr>
        <w:t xml:space="preserve"> стойности</w:t>
      </w:r>
      <w:r w:rsidR="00F73990" w:rsidRPr="006257C9">
        <w:rPr>
          <w:rFonts w:ascii="Verdana" w:hAnsi="Verdana"/>
          <w:lang w:val="bg-BG"/>
        </w:rPr>
        <w:t xml:space="preserve"> (фиг. </w:t>
      </w:r>
      <w:r w:rsidR="00002C1E" w:rsidRPr="006257C9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6257C9">
        <w:rPr>
          <w:rFonts w:ascii="Verdana" w:hAnsi="Verdana"/>
          <w:lang w:val="bg-BG"/>
        </w:rPr>
        <w:t>полиароматни</w:t>
      </w:r>
      <w:proofErr w:type="spellEnd"/>
      <w:r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5174FA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набраните данни</w:t>
      </w:r>
      <w:r w:rsidR="00161D49" w:rsidRPr="006257C9">
        <w:rPr>
          <w:rFonts w:ascii="Verdana" w:hAnsi="Verdana"/>
          <w:lang w:val="bg-BG"/>
        </w:rPr>
        <w:t xml:space="preserve"> за летен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>вариращи под средно годишната норма за опазване на човешкото здраве, определена в Наредба № 12/2010г.</w:t>
      </w:r>
      <w:r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</w:t>
      </w:r>
      <w:proofErr w:type="spellStart"/>
      <w:r w:rsidRPr="006257C9">
        <w:rPr>
          <w:rFonts w:ascii="Verdana" w:hAnsi="Verdana"/>
          <w:lang w:val="bg-BG"/>
        </w:rPr>
        <w:t>среднодневни</w:t>
      </w:r>
      <w:proofErr w:type="spellEnd"/>
      <w:r w:rsidRPr="006257C9">
        <w:rPr>
          <w:rFonts w:ascii="Verdana" w:hAnsi="Verdana"/>
          <w:lang w:val="bg-BG"/>
        </w:rPr>
        <w:t xml:space="preserve"> стойности са в обратна зависимост на външните температури – наблюдава се </w:t>
      </w:r>
      <w:r w:rsidR="00161D49" w:rsidRPr="006257C9">
        <w:rPr>
          <w:rFonts w:ascii="Verdana" w:hAnsi="Verdana"/>
          <w:lang w:val="bg-BG"/>
        </w:rPr>
        <w:t>намаляване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161D49" w:rsidRPr="006257C9">
        <w:rPr>
          <w:rFonts w:ascii="Verdana" w:hAnsi="Verdana"/>
          <w:lang w:val="bg-BG"/>
        </w:rPr>
        <w:t>вишаване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 xml:space="preserve">, а към края на оценявания период с понижаване на </w:t>
      </w:r>
      <w:proofErr w:type="spellStart"/>
      <w:r w:rsidR="006A20A5">
        <w:rPr>
          <w:rFonts w:ascii="Verdana" w:hAnsi="Verdana"/>
          <w:lang w:val="bg-BG"/>
        </w:rPr>
        <w:t>средноденонощните</w:t>
      </w:r>
      <w:proofErr w:type="spellEnd"/>
      <w:r w:rsidR="006A20A5">
        <w:rPr>
          <w:rFonts w:ascii="Verdana" w:hAnsi="Verdana"/>
          <w:lang w:val="bg-BG"/>
        </w:rPr>
        <w:t xml:space="preserve"> температури се регистрираните стойности бележат</w:t>
      </w:r>
      <w:r w:rsidR="005174FA">
        <w:rPr>
          <w:rFonts w:ascii="Verdana" w:hAnsi="Verdana"/>
          <w:lang w:val="bg-BG"/>
        </w:rPr>
        <w:t xml:space="preserve"> леко</w:t>
      </w:r>
      <w:r w:rsidR="006A20A5">
        <w:rPr>
          <w:rFonts w:ascii="Verdana" w:hAnsi="Verdana"/>
          <w:lang w:val="bg-BG"/>
        </w:rPr>
        <w:t xml:space="preserve"> повишение</w:t>
      </w:r>
      <w:r w:rsidRPr="006257C9">
        <w:rPr>
          <w:rFonts w:ascii="Verdana" w:hAnsi="Verdana"/>
          <w:lang w:val="bg-BG"/>
        </w:rPr>
        <w:t>.</w:t>
      </w:r>
    </w:p>
    <w:p w:rsidR="009343D2" w:rsidRPr="006257C9" w:rsidRDefault="0028167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6252D7" w:rsidRPr="006257C9">
        <w:rPr>
          <w:rFonts w:ascii="Verdana" w:hAnsi="Verdana"/>
          <w:lang w:val="bg-BG"/>
        </w:rPr>
        <w:t>на</w:t>
      </w:r>
      <w:r w:rsidRPr="006257C9">
        <w:rPr>
          <w:rFonts w:ascii="Verdana" w:hAnsi="Verdana"/>
          <w:lang w:val="bg-BG"/>
        </w:rPr>
        <w:t xml:space="preserve">д </w:t>
      </w:r>
      <w:r w:rsidR="00161D49" w:rsidRPr="006257C9">
        <w:rPr>
          <w:rFonts w:ascii="Verdana" w:hAnsi="Verdana"/>
          <w:lang w:val="bg-BG"/>
        </w:rPr>
        <w:t>90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>метри, определени в Приложение 8</w:t>
      </w:r>
      <w:r w:rsidR="00D65ECE" w:rsidRPr="006257C9">
        <w:rPr>
          <w:rFonts w:ascii="Verdana" w:hAnsi="Verdana"/>
          <w:lang w:val="bg-BG"/>
        </w:rPr>
        <w:t xml:space="preserve"> към чл. </w:t>
      </w:r>
      <w:r w:rsidR="00FA1338" w:rsidRPr="006257C9">
        <w:rPr>
          <w:rFonts w:ascii="Verdana" w:hAnsi="Verdana"/>
          <w:lang w:val="bg-BG"/>
        </w:rPr>
        <w:t xml:space="preserve">13, т.2 и чл. 22, ал.2 </w:t>
      </w:r>
      <w:r w:rsidR="00D65ECE" w:rsidRPr="006257C9">
        <w:rPr>
          <w:rFonts w:ascii="Verdana" w:hAnsi="Verdana"/>
          <w:lang w:val="bg-BG"/>
        </w:rPr>
        <w:t xml:space="preserve"> от Наредба № 12/15.07.2010 г.</w:t>
      </w:r>
    </w:p>
    <w:p w:rsidR="00E325F4" w:rsidRPr="006257C9" w:rsidRDefault="00E325F4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5921B2">
        <w:rPr>
          <w:rFonts w:ascii="Verdana" w:hAnsi="Verdana"/>
          <w:lang w:val="bg-BG"/>
        </w:rPr>
        <w:t>лет</w:t>
      </w:r>
      <w:r w:rsidR="00FA1338" w:rsidRPr="006257C9">
        <w:rPr>
          <w:rFonts w:ascii="Verdana" w:hAnsi="Verdana"/>
          <w:lang w:val="bg-BG"/>
        </w:rPr>
        <w:t>н</w:t>
      </w:r>
      <w:r w:rsidR="005A3828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>я период (01.</w:t>
      </w:r>
      <w:r w:rsidR="00FA1338" w:rsidRPr="006257C9">
        <w:rPr>
          <w:rFonts w:ascii="Verdana" w:hAnsi="Verdana"/>
          <w:lang w:val="bg-BG"/>
        </w:rPr>
        <w:t>ІV</w:t>
      </w:r>
      <w:r w:rsidRPr="006257C9">
        <w:rPr>
          <w:rFonts w:ascii="Verdana" w:hAnsi="Verdana"/>
          <w:lang w:val="bg-BG"/>
        </w:rPr>
        <w:t xml:space="preserve"> – 3</w:t>
      </w:r>
      <w:r w:rsidR="00FA1338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.І</w:t>
      </w:r>
      <w:r w:rsidR="00FA1338" w:rsidRPr="006257C9">
        <w:rPr>
          <w:rFonts w:ascii="Verdana" w:hAnsi="Verdana"/>
          <w:lang w:val="bg-BG"/>
        </w:rPr>
        <w:t xml:space="preserve">Х)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905788" w:rsidRPr="006257C9" w:rsidRDefault="00905788" w:rsidP="00905788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2F7879">
        <w:rPr>
          <w:rFonts w:ascii="Verdana" w:hAnsi="Verdana"/>
          <w:u w:val="single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 xml:space="preserve"> – </w:t>
      </w:r>
      <w:r w:rsidR="00FA1338" w:rsidRPr="006257C9">
        <w:rPr>
          <w:rFonts w:ascii="Verdana" w:hAnsi="Verdana"/>
          <w:color w:val="000000"/>
          <w:lang w:val="bg-BG"/>
        </w:rPr>
        <w:t xml:space="preserve">наблюдават се  </w:t>
      </w:r>
      <w:proofErr w:type="spellStart"/>
      <w:r w:rsidR="00FA1338" w:rsidRPr="006257C9">
        <w:rPr>
          <w:rFonts w:ascii="Verdana" w:hAnsi="Verdana"/>
          <w:color w:val="000000"/>
          <w:lang w:val="bg-BG"/>
        </w:rPr>
        <w:t>средноденонощни</w:t>
      </w:r>
      <w:proofErr w:type="spellEnd"/>
      <w:r w:rsidR="00FA1338" w:rsidRPr="006257C9">
        <w:rPr>
          <w:rFonts w:ascii="Verdana" w:hAnsi="Verdana"/>
          <w:color w:val="000000"/>
          <w:lang w:val="bg-BG"/>
        </w:rPr>
        <w:t xml:space="preserve"> концентрации под нормата, като за  АИС„Каменица” </w:t>
      </w:r>
      <w:r w:rsidR="008B5BF7">
        <w:rPr>
          <w:rFonts w:ascii="Verdana" w:hAnsi="Verdana"/>
          <w:color w:val="000000"/>
          <w:lang w:val="bg-BG"/>
        </w:rPr>
        <w:t>са</w:t>
      </w:r>
      <w:r w:rsidR="00FA1338" w:rsidRPr="006257C9">
        <w:rPr>
          <w:rFonts w:ascii="Verdana" w:hAnsi="Verdana"/>
          <w:color w:val="000000"/>
          <w:lang w:val="bg-BG"/>
        </w:rPr>
        <w:t xml:space="preserve"> регистриран</w:t>
      </w:r>
      <w:r w:rsidR="008B5BF7">
        <w:rPr>
          <w:rFonts w:ascii="Verdana" w:hAnsi="Verdana"/>
          <w:color w:val="000000"/>
          <w:lang w:val="bg-BG"/>
        </w:rPr>
        <w:t>и</w:t>
      </w:r>
      <w:r w:rsidR="00FA1338" w:rsidRPr="006257C9">
        <w:rPr>
          <w:rFonts w:ascii="Verdana" w:hAnsi="Verdana"/>
          <w:color w:val="000000"/>
          <w:lang w:val="bg-BG"/>
        </w:rPr>
        <w:t xml:space="preserve">  </w:t>
      </w:r>
      <w:r w:rsidR="008B5BF7">
        <w:rPr>
          <w:rFonts w:ascii="Verdana" w:hAnsi="Verdana"/>
          <w:color w:val="000000"/>
          <w:lang w:val="bg-BG"/>
        </w:rPr>
        <w:t>3</w:t>
      </w:r>
      <w:r w:rsidR="00FA1338" w:rsidRPr="006257C9">
        <w:rPr>
          <w:rFonts w:ascii="Verdana" w:hAnsi="Verdana"/>
          <w:color w:val="000000"/>
          <w:lang w:val="bg-BG"/>
        </w:rPr>
        <w:t xml:space="preserve">  </w:t>
      </w:r>
      <w:proofErr w:type="spellStart"/>
      <w:r w:rsidR="00FA1338" w:rsidRPr="006257C9">
        <w:rPr>
          <w:rFonts w:ascii="Verdana" w:hAnsi="Verdana"/>
          <w:color w:val="000000"/>
          <w:lang w:val="bg-BG"/>
        </w:rPr>
        <w:t>превишени</w:t>
      </w:r>
      <w:r w:rsidR="00E5502A">
        <w:rPr>
          <w:rFonts w:ascii="Verdana" w:hAnsi="Verdana"/>
          <w:color w:val="000000"/>
          <w:lang w:val="bg-BG"/>
        </w:rPr>
        <w:t>е</w:t>
      </w:r>
      <w:proofErr w:type="spellEnd"/>
      <w:r w:rsidR="00FA1338" w:rsidRPr="006257C9">
        <w:rPr>
          <w:rFonts w:ascii="Verdana" w:hAnsi="Verdana"/>
          <w:color w:val="000000"/>
          <w:lang w:val="bg-BG"/>
        </w:rPr>
        <w:t xml:space="preserve"> на СДН</w:t>
      </w:r>
      <w:r w:rsidR="00B21D78">
        <w:rPr>
          <w:rFonts w:ascii="Verdana" w:hAnsi="Verdana"/>
          <w:color w:val="000000"/>
          <w:lang w:val="bg-BG"/>
        </w:rPr>
        <w:t>, за</w:t>
      </w:r>
      <w:r w:rsidR="00B21D78" w:rsidRPr="006257C9">
        <w:rPr>
          <w:rFonts w:ascii="Verdana" w:hAnsi="Verdana"/>
          <w:color w:val="000000"/>
          <w:lang w:val="bg-BG"/>
        </w:rPr>
        <w:t xml:space="preserve"> ПМ „Долни воден”</w:t>
      </w:r>
      <w:r w:rsidR="00B21D78">
        <w:rPr>
          <w:rFonts w:ascii="Verdana" w:hAnsi="Verdana"/>
          <w:color w:val="000000"/>
          <w:lang w:val="bg-BG"/>
        </w:rPr>
        <w:t xml:space="preserve"> -</w:t>
      </w:r>
      <w:r w:rsidR="008B5BF7">
        <w:rPr>
          <w:rFonts w:ascii="Verdana" w:hAnsi="Verdana"/>
          <w:color w:val="000000"/>
          <w:lang w:val="bg-BG"/>
        </w:rPr>
        <w:t xml:space="preserve">3 </w:t>
      </w:r>
      <w:r w:rsidR="00B21D78">
        <w:rPr>
          <w:rFonts w:ascii="Verdana" w:hAnsi="Verdana"/>
          <w:color w:val="000000"/>
          <w:lang w:val="bg-BG"/>
        </w:rPr>
        <w:t>бр.</w:t>
      </w:r>
      <w:r w:rsidR="00B21D78" w:rsidRPr="006257C9">
        <w:rPr>
          <w:rFonts w:ascii="Verdana" w:hAnsi="Verdana"/>
          <w:color w:val="000000"/>
          <w:lang w:val="bg-BG"/>
        </w:rPr>
        <w:t xml:space="preserve"> </w:t>
      </w:r>
      <w:r w:rsidR="009F1560" w:rsidRPr="006257C9">
        <w:rPr>
          <w:rFonts w:ascii="Verdana" w:hAnsi="Verdana"/>
          <w:color w:val="000000"/>
          <w:lang w:val="bg-BG"/>
        </w:rPr>
        <w:t xml:space="preserve">и </w:t>
      </w:r>
      <w:r w:rsidR="00B21D78">
        <w:rPr>
          <w:rFonts w:ascii="Verdana" w:hAnsi="Verdana"/>
          <w:color w:val="000000"/>
          <w:lang w:val="bg-BG"/>
        </w:rPr>
        <w:t>1</w:t>
      </w:r>
      <w:r w:rsidR="008B5BF7">
        <w:rPr>
          <w:rFonts w:ascii="Verdana" w:hAnsi="Verdana"/>
          <w:color w:val="000000"/>
          <w:lang w:val="bg-BG"/>
        </w:rPr>
        <w:t>5</w:t>
      </w:r>
      <w:r w:rsidR="009F1560" w:rsidRPr="006257C9">
        <w:rPr>
          <w:rFonts w:ascii="Verdana" w:hAnsi="Verdana"/>
          <w:color w:val="000000"/>
          <w:lang w:val="bg-BG"/>
        </w:rPr>
        <w:t xml:space="preserve"> бр. превишения в АИС „</w:t>
      </w:r>
      <w:r w:rsidR="00B21D78">
        <w:rPr>
          <w:rFonts w:ascii="Verdana" w:hAnsi="Verdana"/>
          <w:color w:val="000000"/>
          <w:lang w:val="bg-BG"/>
        </w:rPr>
        <w:t>Тракия</w:t>
      </w:r>
      <w:r w:rsidR="009F1560" w:rsidRPr="006257C9">
        <w:rPr>
          <w:rFonts w:ascii="Verdana" w:hAnsi="Verdana"/>
          <w:color w:val="000000"/>
          <w:lang w:val="bg-BG"/>
        </w:rPr>
        <w:t>“</w:t>
      </w:r>
      <w:r w:rsidR="00FA1338" w:rsidRPr="006257C9">
        <w:rPr>
          <w:rFonts w:ascii="Verdana" w:hAnsi="Verdana"/>
          <w:color w:val="000000"/>
          <w:lang w:val="bg-BG"/>
        </w:rPr>
        <w:t>. Измерените превишения са в пряка връзка</w:t>
      </w:r>
      <w:r w:rsidR="00B21D78">
        <w:rPr>
          <w:rFonts w:ascii="Verdana" w:hAnsi="Verdana"/>
          <w:color w:val="000000"/>
          <w:lang w:val="bg-BG"/>
        </w:rPr>
        <w:t xml:space="preserve"> с</w:t>
      </w:r>
      <w:r w:rsidR="00FA1338" w:rsidRPr="006257C9">
        <w:rPr>
          <w:rFonts w:ascii="Verdana" w:hAnsi="Verdana"/>
          <w:color w:val="000000"/>
          <w:lang w:val="bg-BG"/>
        </w:rPr>
        <w:t xml:space="preserve"> </w:t>
      </w:r>
      <w:r w:rsidR="00FA1338" w:rsidRPr="006257C9">
        <w:rPr>
          <w:rFonts w:ascii="Verdana" w:hAnsi="Verdana"/>
          <w:color w:val="000000"/>
          <w:lang w:val="bg-BG"/>
        </w:rPr>
        <w:lastRenderedPageBreak/>
        <w:t xml:space="preserve">интензивните </w:t>
      </w:r>
      <w:r w:rsidR="00B21D78">
        <w:rPr>
          <w:rFonts w:ascii="Verdana" w:hAnsi="Verdana"/>
          <w:color w:val="000000"/>
          <w:lang w:val="bg-BG"/>
        </w:rPr>
        <w:t xml:space="preserve">строителни и </w:t>
      </w:r>
      <w:r w:rsidR="00FA1338" w:rsidRPr="006257C9">
        <w:rPr>
          <w:rFonts w:ascii="Verdana" w:hAnsi="Verdana"/>
          <w:color w:val="000000"/>
          <w:lang w:val="bg-BG"/>
        </w:rPr>
        <w:t>строително</w:t>
      </w:r>
      <w:r w:rsidR="00FA1338" w:rsidRPr="006257C9">
        <w:rPr>
          <w:rFonts w:ascii="Verdana" w:hAnsi="Verdana"/>
          <w:color w:val="000000"/>
        </w:rPr>
        <w:t>-</w:t>
      </w:r>
      <w:r w:rsidR="00FA1338" w:rsidRPr="006257C9">
        <w:rPr>
          <w:rFonts w:ascii="Verdana" w:hAnsi="Verdana"/>
          <w:color w:val="000000"/>
          <w:lang w:val="bg-BG"/>
        </w:rPr>
        <w:t>ремонтни дейности, характерни за този сезон, в съчетание с високи летни температури и безветрие</w:t>
      </w:r>
      <w:r w:rsidRPr="006257C9">
        <w:rPr>
          <w:rFonts w:ascii="Verdana" w:hAnsi="Verdana"/>
          <w:lang w:val="bg-BG"/>
        </w:rPr>
        <w:t>.</w:t>
      </w:r>
    </w:p>
    <w:p w:rsidR="00905788" w:rsidRPr="006257C9" w:rsidRDefault="00905788" w:rsidP="00905788">
      <w:pPr>
        <w:numPr>
          <w:ilvl w:val="0"/>
          <w:numId w:val="25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2F7879">
        <w:rPr>
          <w:rFonts w:ascii="Verdana" w:hAnsi="Verdana"/>
          <w:u w:val="single"/>
          <w:vertAlign w:val="subscript"/>
          <w:lang w:val="bg-BG"/>
        </w:rPr>
        <w:t>2,5</w:t>
      </w:r>
      <w:r w:rsidRPr="002F7879">
        <w:rPr>
          <w:rFonts w:ascii="Verdana" w:hAnsi="Verdana"/>
          <w:vertAlign w:val="subscript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- </w:t>
      </w:r>
      <w:r w:rsidR="00FA1338" w:rsidRPr="006257C9">
        <w:rPr>
          <w:rFonts w:ascii="Verdana" w:hAnsi="Verdana"/>
          <w:lang w:val="bg-BG"/>
        </w:rPr>
        <w:t>през целия летен период се наблюдават концентрации вариращи под средногодишната  норма</w:t>
      </w:r>
      <w:r w:rsidRPr="006257C9">
        <w:rPr>
          <w:rFonts w:ascii="Verdana" w:hAnsi="Verdana"/>
        </w:rPr>
        <w:t>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>10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03660A" w:rsidRDefault="0071385C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 отчетния период</w:t>
      </w:r>
      <w:r w:rsidR="00FA1338" w:rsidRPr="006257C9">
        <w:rPr>
          <w:rFonts w:ascii="Verdana" w:hAnsi="Verdana"/>
          <w:lang w:val="bg-BG"/>
        </w:rPr>
        <w:t xml:space="preserve"> -01.</w:t>
      </w:r>
      <w:r w:rsidR="003B1644" w:rsidRPr="006257C9">
        <w:rPr>
          <w:rFonts w:ascii="Verdana" w:hAnsi="Verdana"/>
          <w:lang w:val="bg-BG"/>
        </w:rPr>
        <w:t>0</w:t>
      </w:r>
      <w:r w:rsidR="00FA1338" w:rsidRPr="006257C9">
        <w:rPr>
          <w:rFonts w:ascii="Verdana" w:hAnsi="Verdana"/>
          <w:lang w:val="bg-BG"/>
        </w:rPr>
        <w:t>4</w:t>
      </w:r>
      <w:r w:rsidR="003B1644" w:rsidRPr="006257C9">
        <w:rPr>
          <w:rFonts w:ascii="Verdana" w:hAnsi="Verdana"/>
          <w:lang w:val="bg-BG"/>
        </w:rPr>
        <w:t>.201</w:t>
      </w:r>
      <w:r w:rsidR="008331C8">
        <w:rPr>
          <w:rFonts w:ascii="Verdana" w:hAnsi="Verdana"/>
        </w:rPr>
        <w:t>7</w:t>
      </w:r>
      <w:r w:rsidR="003B1644" w:rsidRPr="006257C9">
        <w:rPr>
          <w:rFonts w:ascii="Verdana" w:hAnsi="Verdana"/>
          <w:lang w:val="bg-BG"/>
        </w:rPr>
        <w:t>-3</w:t>
      </w:r>
      <w:r w:rsidR="00FA1338" w:rsidRPr="006257C9">
        <w:rPr>
          <w:rFonts w:ascii="Verdana" w:hAnsi="Verdana"/>
          <w:lang w:val="bg-BG"/>
        </w:rPr>
        <w:t>0</w:t>
      </w:r>
      <w:r w:rsidR="003B1644" w:rsidRPr="006257C9">
        <w:rPr>
          <w:rFonts w:ascii="Verdana" w:hAnsi="Verdana"/>
          <w:lang w:val="bg-BG"/>
        </w:rPr>
        <w:t>.0</w:t>
      </w:r>
      <w:r w:rsidR="00FA1338" w:rsidRPr="006257C9">
        <w:rPr>
          <w:rFonts w:ascii="Verdana" w:hAnsi="Verdana"/>
          <w:lang w:val="bg-BG"/>
        </w:rPr>
        <w:t>9</w:t>
      </w:r>
      <w:r w:rsidR="003B1644" w:rsidRPr="006257C9">
        <w:rPr>
          <w:rFonts w:ascii="Verdana" w:hAnsi="Verdana"/>
          <w:lang w:val="bg-BG"/>
        </w:rPr>
        <w:t>.201</w:t>
      </w:r>
      <w:r w:rsidR="008331C8">
        <w:rPr>
          <w:rFonts w:ascii="Verdana" w:hAnsi="Verdana"/>
        </w:rPr>
        <w:t>7</w:t>
      </w:r>
      <w:r w:rsidR="003B1644" w:rsidRPr="006257C9">
        <w:rPr>
          <w:rFonts w:ascii="Verdana" w:hAnsi="Verdana"/>
          <w:lang w:val="bg-BG"/>
        </w:rPr>
        <w:t>г.-</w:t>
      </w:r>
      <w:r w:rsidRPr="006257C9">
        <w:rPr>
          <w:rFonts w:ascii="Verdana" w:hAnsi="Verdana"/>
          <w:lang w:val="bg-BG"/>
        </w:rPr>
        <w:t xml:space="preserve"> е характерно </w:t>
      </w:r>
      <w:r w:rsidR="0003660A">
        <w:rPr>
          <w:rFonts w:ascii="Verdana" w:hAnsi="Verdana"/>
          <w:lang w:val="bg-BG"/>
        </w:rPr>
        <w:t xml:space="preserve"> регистриране на минимален брой</w:t>
      </w:r>
      <w:r w:rsidRPr="006257C9">
        <w:rPr>
          <w:rFonts w:ascii="Verdana" w:hAnsi="Verdana"/>
          <w:lang w:val="bg-BG"/>
        </w:rPr>
        <w:t xml:space="preserve"> превишения</w:t>
      </w:r>
      <w:r w:rsidR="0003660A">
        <w:rPr>
          <w:rFonts w:ascii="Verdana" w:hAnsi="Verdana"/>
          <w:lang w:val="bg-BG"/>
        </w:rPr>
        <w:t xml:space="preserve"> на </w:t>
      </w:r>
      <w:proofErr w:type="spellStart"/>
      <w:r w:rsidR="0003660A">
        <w:rPr>
          <w:rFonts w:ascii="Verdana" w:hAnsi="Verdana"/>
          <w:lang w:val="bg-BG"/>
        </w:rPr>
        <w:t>средноденонощната</w:t>
      </w:r>
      <w:proofErr w:type="spellEnd"/>
      <w:r w:rsidR="0003660A">
        <w:rPr>
          <w:rFonts w:ascii="Verdana" w:hAnsi="Verdana"/>
          <w:lang w:val="bg-BG"/>
        </w:rPr>
        <w:t xml:space="preserve"> норма за опазване на човешкото здраве</w:t>
      </w:r>
      <w:r w:rsidR="003B4B01" w:rsidRPr="006257C9">
        <w:rPr>
          <w:rFonts w:ascii="Verdana" w:hAnsi="Verdana"/>
          <w:lang w:val="bg-BG"/>
        </w:rPr>
        <w:t xml:space="preserve">. </w:t>
      </w:r>
    </w:p>
    <w:p w:rsidR="003B4B01" w:rsidRPr="006257C9" w:rsidRDefault="00FA1338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От началото на </w:t>
      </w:r>
      <w:r w:rsidR="003B4B01" w:rsidRPr="006257C9">
        <w:rPr>
          <w:rFonts w:ascii="Verdana" w:hAnsi="Verdana"/>
          <w:lang w:val="bg-BG"/>
        </w:rPr>
        <w:t>201</w:t>
      </w:r>
      <w:r w:rsidR="008331C8">
        <w:rPr>
          <w:rFonts w:ascii="Verdana" w:hAnsi="Verdana"/>
        </w:rPr>
        <w:t>7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3B4B01" w:rsidRPr="006257C9" w:rsidRDefault="00E5502A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55</w:t>
      </w:r>
      <w:r w:rsidR="00FA1338" w:rsidRPr="006257C9">
        <w:rPr>
          <w:rFonts w:ascii="Verdana" w:hAnsi="Verdana"/>
          <w:lang w:val="bg-BG"/>
        </w:rPr>
        <w:t xml:space="preserve"> 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E5502A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71</w:t>
      </w:r>
      <w:r w:rsidR="00FA1338" w:rsidRPr="006257C9">
        <w:rPr>
          <w:rFonts w:ascii="Verdana" w:hAnsi="Verdana"/>
          <w:lang w:val="bg-BG"/>
        </w:rPr>
        <w:t xml:space="preserve"> бр. Регистрирани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E5502A" w:rsidP="006257C9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</w:t>
      </w:r>
      <w:r w:rsidR="00696092">
        <w:rPr>
          <w:rFonts w:ascii="Verdana" w:hAnsi="Verdana"/>
          <w:lang w:val="bg-BG"/>
        </w:rPr>
        <w:t>1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B21D78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 w:rsidR="003B4B01" w:rsidRPr="006257C9">
        <w:rPr>
          <w:rFonts w:ascii="Verdana" w:hAnsi="Verdana"/>
          <w:lang w:val="bg-BG"/>
        </w:rPr>
        <w:t>.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</w:t>
      </w:r>
      <w:r w:rsidR="00E5502A">
        <w:rPr>
          <w:rFonts w:ascii="Verdana" w:hAnsi="Verdana"/>
          <w:lang w:val="bg-BG"/>
        </w:rPr>
        <w:t xml:space="preserve">стойности </w:t>
      </w:r>
      <w:r w:rsidRPr="006257C9">
        <w:rPr>
          <w:rFonts w:ascii="Verdana" w:hAnsi="Verdana"/>
          <w:lang w:val="bg-BG"/>
        </w:rPr>
        <w:t>по показател ФПЧ</w:t>
      </w:r>
      <w:r w:rsidRPr="005174FA">
        <w:rPr>
          <w:rFonts w:ascii="Verdana" w:hAnsi="Verdana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>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</w:t>
      </w:r>
      <w:bookmarkStart w:id="35" w:name="_GoBack"/>
      <w:bookmarkEnd w:id="35"/>
      <w:r w:rsidR="003645D4" w:rsidRPr="006257C9">
        <w:rPr>
          <w:rFonts w:ascii="Verdana" w:hAnsi="Verdana"/>
          <w:lang w:val="bg-BG"/>
        </w:rPr>
        <w:t>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Pr="006257C9" w:rsidRDefault="003C16DC" w:rsidP="00195C26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Изготвил-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>, н-к отдел „КД“</w:t>
      </w:r>
    </w:p>
    <w:sectPr w:rsidR="003C16DC" w:rsidRPr="006257C9" w:rsidSect="00D41712">
      <w:footerReference w:type="even" r:id="rId17"/>
      <w:footerReference w:type="default" r:id="rId18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7879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74FA">
      <w:rPr>
        <w:rStyle w:val="a4"/>
        <w:noProof/>
      </w:rPr>
      <w:t>10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30"/>
  </w:num>
  <w:num w:numId="14">
    <w:abstractNumId w:val="19"/>
  </w:num>
  <w:num w:numId="15">
    <w:abstractNumId w:val="23"/>
  </w:num>
  <w:num w:numId="16">
    <w:abstractNumId w:val="29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7"/>
  </w:num>
  <w:num w:numId="29">
    <w:abstractNumId w:val="1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660A"/>
    <w:rsid w:val="0005161E"/>
    <w:rsid w:val="00054E5A"/>
    <w:rsid w:val="00056ED8"/>
    <w:rsid w:val="00057385"/>
    <w:rsid w:val="00062C21"/>
    <w:rsid w:val="00065EE6"/>
    <w:rsid w:val="00066040"/>
    <w:rsid w:val="00075D7A"/>
    <w:rsid w:val="00077B58"/>
    <w:rsid w:val="000800BE"/>
    <w:rsid w:val="00091051"/>
    <w:rsid w:val="000949C5"/>
    <w:rsid w:val="00095D0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E3865"/>
    <w:rsid w:val="000E5CBA"/>
    <w:rsid w:val="000F1B4D"/>
    <w:rsid w:val="000F2046"/>
    <w:rsid w:val="000F44D6"/>
    <w:rsid w:val="00100209"/>
    <w:rsid w:val="0010114A"/>
    <w:rsid w:val="001074DF"/>
    <w:rsid w:val="001211BC"/>
    <w:rsid w:val="00124B34"/>
    <w:rsid w:val="00127888"/>
    <w:rsid w:val="00134CF1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85A35"/>
    <w:rsid w:val="0019128B"/>
    <w:rsid w:val="00191506"/>
    <w:rsid w:val="001928F4"/>
    <w:rsid w:val="00195C26"/>
    <w:rsid w:val="001A420B"/>
    <w:rsid w:val="001A7A38"/>
    <w:rsid w:val="001A7CC3"/>
    <w:rsid w:val="001B07CB"/>
    <w:rsid w:val="001B0956"/>
    <w:rsid w:val="001B0F83"/>
    <w:rsid w:val="001B4DB3"/>
    <w:rsid w:val="001B5706"/>
    <w:rsid w:val="001C06A2"/>
    <w:rsid w:val="001C20A8"/>
    <w:rsid w:val="001C2479"/>
    <w:rsid w:val="001C5A51"/>
    <w:rsid w:val="001C68FF"/>
    <w:rsid w:val="001C7ADE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3C53"/>
    <w:rsid w:val="002251DE"/>
    <w:rsid w:val="0022736B"/>
    <w:rsid w:val="00230624"/>
    <w:rsid w:val="00233CDD"/>
    <w:rsid w:val="002340AA"/>
    <w:rsid w:val="00234844"/>
    <w:rsid w:val="0023696A"/>
    <w:rsid w:val="00236A6B"/>
    <w:rsid w:val="00243A2C"/>
    <w:rsid w:val="00245DA3"/>
    <w:rsid w:val="0024709B"/>
    <w:rsid w:val="00247A29"/>
    <w:rsid w:val="00250A40"/>
    <w:rsid w:val="0025103F"/>
    <w:rsid w:val="00254C76"/>
    <w:rsid w:val="00261FE6"/>
    <w:rsid w:val="00264A00"/>
    <w:rsid w:val="00264A5A"/>
    <w:rsid w:val="00273ED7"/>
    <w:rsid w:val="00276793"/>
    <w:rsid w:val="0027707D"/>
    <w:rsid w:val="00281672"/>
    <w:rsid w:val="002855D0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F4DF7"/>
    <w:rsid w:val="002F7879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77D8"/>
    <w:rsid w:val="003601DB"/>
    <w:rsid w:val="00361949"/>
    <w:rsid w:val="0036399D"/>
    <w:rsid w:val="003645D4"/>
    <w:rsid w:val="003650F7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E7C"/>
    <w:rsid w:val="003D0584"/>
    <w:rsid w:val="003D1447"/>
    <w:rsid w:val="003D42E7"/>
    <w:rsid w:val="003D60A8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076B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592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647C1"/>
    <w:rsid w:val="00476A9B"/>
    <w:rsid w:val="00485174"/>
    <w:rsid w:val="004856CA"/>
    <w:rsid w:val="00491DE0"/>
    <w:rsid w:val="00493BAB"/>
    <w:rsid w:val="004A03D0"/>
    <w:rsid w:val="004A18EC"/>
    <w:rsid w:val="004A57F4"/>
    <w:rsid w:val="004A7124"/>
    <w:rsid w:val="004B3D30"/>
    <w:rsid w:val="004B4234"/>
    <w:rsid w:val="004B44EA"/>
    <w:rsid w:val="004B6624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AD3"/>
    <w:rsid w:val="004D2D44"/>
    <w:rsid w:val="004D7FEF"/>
    <w:rsid w:val="004E189F"/>
    <w:rsid w:val="004E18C4"/>
    <w:rsid w:val="004E3B89"/>
    <w:rsid w:val="004F08F6"/>
    <w:rsid w:val="004F15BC"/>
    <w:rsid w:val="004F2D59"/>
    <w:rsid w:val="004F2F63"/>
    <w:rsid w:val="004F3DC2"/>
    <w:rsid w:val="00503D4D"/>
    <w:rsid w:val="0050439C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683D"/>
    <w:rsid w:val="005174FA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45069"/>
    <w:rsid w:val="005543A6"/>
    <w:rsid w:val="0055508B"/>
    <w:rsid w:val="00557232"/>
    <w:rsid w:val="005624EE"/>
    <w:rsid w:val="005642BA"/>
    <w:rsid w:val="00564D09"/>
    <w:rsid w:val="00565546"/>
    <w:rsid w:val="00573072"/>
    <w:rsid w:val="00575ABE"/>
    <w:rsid w:val="005802D8"/>
    <w:rsid w:val="005845FF"/>
    <w:rsid w:val="005903DF"/>
    <w:rsid w:val="005921B2"/>
    <w:rsid w:val="00595B65"/>
    <w:rsid w:val="00595DB8"/>
    <w:rsid w:val="00597706"/>
    <w:rsid w:val="005A1D32"/>
    <w:rsid w:val="005A25E4"/>
    <w:rsid w:val="005A3828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0206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364C4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41F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609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2E86"/>
    <w:rsid w:val="00725A64"/>
    <w:rsid w:val="00735AAA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315D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58E6"/>
    <w:rsid w:val="007D5934"/>
    <w:rsid w:val="007D7610"/>
    <w:rsid w:val="007E0295"/>
    <w:rsid w:val="007E169E"/>
    <w:rsid w:val="007E666C"/>
    <w:rsid w:val="007F2DF0"/>
    <w:rsid w:val="007F43FA"/>
    <w:rsid w:val="007F6EDD"/>
    <w:rsid w:val="007F7C44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1C8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90083"/>
    <w:rsid w:val="00895449"/>
    <w:rsid w:val="0089729A"/>
    <w:rsid w:val="008A2853"/>
    <w:rsid w:val="008B0A3C"/>
    <w:rsid w:val="008B1DCD"/>
    <w:rsid w:val="008B3DC4"/>
    <w:rsid w:val="008B5BF7"/>
    <w:rsid w:val="008B65C7"/>
    <w:rsid w:val="008B7F66"/>
    <w:rsid w:val="008C1B49"/>
    <w:rsid w:val="008C2158"/>
    <w:rsid w:val="008C5078"/>
    <w:rsid w:val="008D2367"/>
    <w:rsid w:val="008D2891"/>
    <w:rsid w:val="008D3FD4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20848"/>
    <w:rsid w:val="009218AF"/>
    <w:rsid w:val="00923B7A"/>
    <w:rsid w:val="009343D2"/>
    <w:rsid w:val="00943EBB"/>
    <w:rsid w:val="0094786B"/>
    <w:rsid w:val="00954D4D"/>
    <w:rsid w:val="0096089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40E"/>
    <w:rsid w:val="00985F79"/>
    <w:rsid w:val="009862ED"/>
    <w:rsid w:val="00987A98"/>
    <w:rsid w:val="0099157D"/>
    <w:rsid w:val="009925D2"/>
    <w:rsid w:val="009944AC"/>
    <w:rsid w:val="009A032E"/>
    <w:rsid w:val="009B0D9C"/>
    <w:rsid w:val="009C56F1"/>
    <w:rsid w:val="009C77A1"/>
    <w:rsid w:val="009C7E58"/>
    <w:rsid w:val="009D012F"/>
    <w:rsid w:val="009D38B6"/>
    <w:rsid w:val="009D4A31"/>
    <w:rsid w:val="009D5A29"/>
    <w:rsid w:val="009D667C"/>
    <w:rsid w:val="009D7568"/>
    <w:rsid w:val="009E0E13"/>
    <w:rsid w:val="009F1531"/>
    <w:rsid w:val="009F1560"/>
    <w:rsid w:val="00A02667"/>
    <w:rsid w:val="00A026E2"/>
    <w:rsid w:val="00A04195"/>
    <w:rsid w:val="00A10F0C"/>
    <w:rsid w:val="00A113D9"/>
    <w:rsid w:val="00A13972"/>
    <w:rsid w:val="00A209D7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F0C62"/>
    <w:rsid w:val="00AF1C7B"/>
    <w:rsid w:val="00AF234A"/>
    <w:rsid w:val="00AF6C0F"/>
    <w:rsid w:val="00B02963"/>
    <w:rsid w:val="00B049EE"/>
    <w:rsid w:val="00B04C7E"/>
    <w:rsid w:val="00B07ACC"/>
    <w:rsid w:val="00B14A66"/>
    <w:rsid w:val="00B15F30"/>
    <w:rsid w:val="00B16812"/>
    <w:rsid w:val="00B21033"/>
    <w:rsid w:val="00B21D78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96F2C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72E9"/>
    <w:rsid w:val="00C34000"/>
    <w:rsid w:val="00C441AB"/>
    <w:rsid w:val="00C451E1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2FBB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4E66"/>
    <w:rsid w:val="00D76C3A"/>
    <w:rsid w:val="00D8374C"/>
    <w:rsid w:val="00D83CC7"/>
    <w:rsid w:val="00D846F0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D0B2F"/>
    <w:rsid w:val="00DD0BA9"/>
    <w:rsid w:val="00DD32D2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43297"/>
    <w:rsid w:val="00E52746"/>
    <w:rsid w:val="00E5502A"/>
    <w:rsid w:val="00E555F4"/>
    <w:rsid w:val="00E60D47"/>
    <w:rsid w:val="00E623CD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2792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C34B4"/>
    <w:rsid w:val="00EC657B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579D"/>
    <w:rsid w:val="00F47D8F"/>
    <w:rsid w:val="00F5364A"/>
    <w:rsid w:val="00F5537E"/>
    <w:rsid w:val="00F56912"/>
    <w:rsid w:val="00F5734D"/>
    <w:rsid w:val="00F73990"/>
    <w:rsid w:val="00F77589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1338"/>
    <w:rsid w:val="00FA4013"/>
    <w:rsid w:val="00FA57B3"/>
    <w:rsid w:val="00FB22A2"/>
    <w:rsid w:val="00FB3AF2"/>
    <w:rsid w:val="00FB3C60"/>
    <w:rsid w:val="00FB7EBC"/>
    <w:rsid w:val="00FC0408"/>
    <w:rsid w:val="00FC1B4A"/>
    <w:rsid w:val="00FC512C"/>
    <w:rsid w:val="00FD0226"/>
    <w:rsid w:val="00FD04F0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2,5\PM2.5_201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ПМ"Д.Воден"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Лист1!$C$2:$H$2</c:f>
              <c:numCache>
                <c:formatCode>General</c:formatCode>
                <c:ptCount val="6"/>
                <c:pt idx="0">
                  <c:v>30</c:v>
                </c:pt>
                <c:pt idx="1">
                  <c:v>24.6</c:v>
                </c:pt>
                <c:pt idx="2">
                  <c:v>24</c:v>
                </c:pt>
                <c:pt idx="3">
                  <c:v>25.8</c:v>
                </c:pt>
                <c:pt idx="4">
                  <c:v>24.8</c:v>
                </c:pt>
                <c:pt idx="5">
                  <c:v>27.1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25.8</c:v>
                </c:pt>
                <c:pt idx="1">
                  <c:v>22.5</c:v>
                </c:pt>
                <c:pt idx="2">
                  <c:v>24.6</c:v>
                </c:pt>
                <c:pt idx="3">
                  <c:v>25.3</c:v>
                </c:pt>
                <c:pt idx="4">
                  <c:v>28.5</c:v>
                </c:pt>
                <c:pt idx="5">
                  <c:v>28.9</c:v>
                </c:pt>
              </c:numCache>
            </c:numRef>
          </c:val>
        </c:ser>
        <c:ser>
          <c:idx val="2"/>
          <c:order val="2"/>
          <c:tx>
            <c:strRef>
              <c:f>Лист1!$B$4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23</c:v>
                </c:pt>
                <c:pt idx="1">
                  <c:v>22</c:v>
                </c:pt>
                <c:pt idx="2">
                  <c:v>21.9</c:v>
                </c:pt>
                <c:pt idx="3">
                  <c:v>25.2</c:v>
                </c:pt>
                <c:pt idx="4">
                  <c:v>24.6</c:v>
                </c:pt>
                <c:pt idx="5">
                  <c:v>25.4</c:v>
                </c:pt>
              </c:numCache>
            </c:numRef>
          </c:val>
        </c:ser>
        <c:ser>
          <c:idx val="3"/>
          <c:order val="3"/>
          <c:tx>
            <c:strRef>
              <c:f>Лист1!$B$5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Лист1!$C$5:$H$5</c:f>
              <c:numCache>
                <c:formatCode>General</c:formatCode>
                <c:ptCount val="6"/>
                <c:pt idx="0">
                  <c:v>32</c:v>
                </c:pt>
                <c:pt idx="1">
                  <c:v>32.700000000000003</c:v>
                </c:pt>
                <c:pt idx="2">
                  <c:v>33.299999999999997</c:v>
                </c:pt>
                <c:pt idx="3">
                  <c:v>33.5</c:v>
                </c:pt>
                <c:pt idx="4">
                  <c:v>36.4</c:v>
                </c:pt>
                <c:pt idx="5">
                  <c:v>34.9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86400"/>
        <c:axId val="115099328"/>
      </c:barChart>
      <c:lineChart>
        <c:grouping val="standard"/>
        <c:varyColors val="0"/>
        <c:ser>
          <c:idx val="4"/>
          <c:order val="4"/>
          <c:tx>
            <c:strRef>
              <c:f>Лист1!$B$6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Лист1!$C$6:$H$6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486400"/>
        <c:axId val="115099328"/>
      </c:lineChart>
      <c:catAx>
        <c:axId val="4848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099328"/>
        <c:crosses val="autoZero"/>
        <c:auto val="1"/>
        <c:lblAlgn val="ctr"/>
        <c:lblOffset val="100"/>
        <c:noMultiLvlLbl val="0"/>
      </c:catAx>
      <c:valAx>
        <c:axId val="11509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86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11.7</c:v>
                </c:pt>
                <c:pt idx="1">
                  <c:v>10.5</c:v>
                </c:pt>
                <c:pt idx="2">
                  <c:v>14.8</c:v>
                </c:pt>
                <c:pt idx="3">
                  <c:v>13.8</c:v>
                </c:pt>
                <c:pt idx="4">
                  <c:v>13.9</c:v>
                </c:pt>
                <c:pt idx="5">
                  <c:v>15.1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87936"/>
        <c:axId val="115101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487936"/>
        <c:axId val="115101056"/>
      </c:lineChart>
      <c:catAx>
        <c:axId val="48487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101056"/>
        <c:crosses val="autoZero"/>
        <c:auto val="1"/>
        <c:lblAlgn val="ctr"/>
        <c:lblOffset val="100"/>
        <c:noMultiLvlLbl val="0"/>
      </c:catAx>
      <c:valAx>
        <c:axId val="11510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8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87489063867021"/>
          <c:y val="0.24846456692913385"/>
          <c:w val="0.34101399825021872"/>
          <c:h val="0.503070866141732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30</c:v>
                </c:pt>
                <c:pt idx="1">
                  <c:v>24.6</c:v>
                </c:pt>
                <c:pt idx="2">
                  <c:v>24</c:v>
                </c:pt>
                <c:pt idx="3">
                  <c:v>25.8</c:v>
                </c:pt>
                <c:pt idx="4">
                  <c:v>24.8</c:v>
                </c:pt>
                <c:pt idx="5">
                  <c:v>27.1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25.8</c:v>
                </c:pt>
                <c:pt idx="1">
                  <c:v>22.5</c:v>
                </c:pt>
                <c:pt idx="2">
                  <c:v>24.6</c:v>
                </c:pt>
                <c:pt idx="3">
                  <c:v>25.3</c:v>
                </c:pt>
                <c:pt idx="4">
                  <c:v>28.5</c:v>
                </c:pt>
                <c:pt idx="5">
                  <c:v>28.9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23</c:v>
                </c:pt>
                <c:pt idx="1">
                  <c:v>22</c:v>
                </c:pt>
                <c:pt idx="2">
                  <c:v>22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32</c:v>
                </c:pt>
                <c:pt idx="1">
                  <c:v>33</c:v>
                </c:pt>
                <c:pt idx="2">
                  <c:v>33</c:v>
                </c:pt>
                <c:pt idx="3">
                  <c:v>33</c:v>
                </c:pt>
                <c:pt idx="4">
                  <c:v>36</c:v>
                </c:pt>
                <c:pt idx="5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15236352"/>
        <c:axId val="11510393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</c:v>
                </c:pt>
                <c:pt idx="1">
                  <c:v>18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957824"/>
        <c:axId val="115104512"/>
      </c:lineChart>
      <c:catAx>
        <c:axId val="11523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510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103936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5236352"/>
        <c:crosses val="autoZero"/>
        <c:crossBetween val="between"/>
        <c:majorUnit val="20"/>
      </c:valAx>
      <c:catAx>
        <c:axId val="1229578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5104512"/>
        <c:crosses val="autoZero"/>
        <c:auto val="1"/>
        <c:lblAlgn val="ctr"/>
        <c:lblOffset val="100"/>
        <c:noMultiLvlLbl val="0"/>
      </c:catAx>
      <c:valAx>
        <c:axId val="115104512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2957824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6.0891975122536461E-2"/>
          <c:w val="0.15344372362726211"/>
          <c:h val="0.31552555930508686"/>
        </c:manualLayout>
      </c:layout>
      <c:overlay val="0"/>
      <c:spPr>
        <a:noFill/>
        <a:ln w="1008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2043037098872669"/>
          <c:y val="1.3889440290551917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52.5</c:v>
                </c:pt>
                <c:pt idx="1">
                  <c:v>44.1</c:v>
                </c:pt>
                <c:pt idx="2">
                  <c:v>45</c:v>
                </c:pt>
                <c:pt idx="3">
                  <c:v>79</c:v>
                </c:pt>
                <c:pt idx="4">
                  <c:v>42.2</c:v>
                </c:pt>
                <c:pt idx="5">
                  <c:v>71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64.099999999999994</c:v>
                </c:pt>
                <c:pt idx="1">
                  <c:v>47.9</c:v>
                </c:pt>
                <c:pt idx="2">
                  <c:v>43.1</c:v>
                </c:pt>
                <c:pt idx="3">
                  <c:v>49.6</c:v>
                </c:pt>
                <c:pt idx="4">
                  <c:v>40.700000000000003</c:v>
                </c:pt>
                <c:pt idx="5">
                  <c:v>60.3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34</c:v>
                </c:pt>
                <c:pt idx="1">
                  <c:v>54</c:v>
                </c:pt>
                <c:pt idx="2">
                  <c:v>35</c:v>
                </c:pt>
                <c:pt idx="3">
                  <c:v>45</c:v>
                </c:pt>
                <c:pt idx="4">
                  <c:v>48</c:v>
                </c:pt>
                <c:pt idx="5">
                  <c:v>95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59</c:v>
                </c:pt>
                <c:pt idx="1">
                  <c:v>60</c:v>
                </c:pt>
                <c:pt idx="2">
                  <c:v>52</c:v>
                </c:pt>
                <c:pt idx="3">
                  <c:v>58</c:v>
                </c:pt>
                <c:pt idx="4">
                  <c:v>74</c:v>
                </c:pt>
                <c:pt idx="5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24256768"/>
        <c:axId val="115106368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</c:v>
                </c:pt>
                <c:pt idx="1">
                  <c:v>18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257280"/>
        <c:axId val="115106944"/>
      </c:lineChart>
      <c:catAx>
        <c:axId val="12425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510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106368"/>
        <c:scaling>
          <c:orientation val="minMax"/>
          <c:max val="1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4256768"/>
        <c:crosses val="autoZero"/>
        <c:crossBetween val="between"/>
        <c:majorUnit val="20"/>
      </c:valAx>
      <c:catAx>
        <c:axId val="124257280"/>
        <c:scaling>
          <c:orientation val="minMax"/>
        </c:scaling>
        <c:delete val="1"/>
        <c:axPos val="b"/>
        <c:majorTickMark val="out"/>
        <c:minorTickMark val="none"/>
        <c:tickLblPos val="nextTo"/>
        <c:crossAx val="115106944"/>
        <c:crossesAt val="-2"/>
        <c:auto val="1"/>
        <c:lblAlgn val="ctr"/>
        <c:lblOffset val="100"/>
        <c:noMultiLvlLbl val="0"/>
      </c:catAx>
      <c:valAx>
        <c:axId val="115106944"/>
        <c:scaling>
          <c:orientation val="minMax"/>
          <c:max val="4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4257280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0753610491483"/>
          <c:y val="0.17661733459788118"/>
          <c:w val="0.16762061251093285"/>
          <c:h val="0.31315997265047751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5647-2A19-42C3-BBD1-E40488A9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2465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13</cp:revision>
  <cp:lastPrinted>2017-10-25T11:14:00Z</cp:lastPrinted>
  <dcterms:created xsi:type="dcterms:W3CDTF">2016-11-04T14:29:00Z</dcterms:created>
  <dcterms:modified xsi:type="dcterms:W3CDTF">2017-10-30T09:24:00Z</dcterms:modified>
</cp:coreProperties>
</file>